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0612" w14:textId="77777777" w:rsidR="00525FD0" w:rsidRDefault="00AE4EEC">
      <w:pPr>
        <w:pStyle w:val="1"/>
        <w:keepNext w:val="0"/>
        <w:spacing w:beforeLines="0" w:afterLines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安徽省</w:t>
      </w:r>
      <w:r>
        <w:rPr>
          <w:rFonts w:ascii="Times New Roman" w:hAnsi="Times New Roman" w:hint="eastAsia"/>
          <w:sz w:val="44"/>
          <w:szCs w:val="44"/>
        </w:rPr>
        <w:t>自然科学</w:t>
      </w:r>
      <w:r>
        <w:rPr>
          <w:rFonts w:ascii="Times New Roman" w:hAnsi="Times New Roman"/>
          <w:sz w:val="44"/>
          <w:szCs w:val="44"/>
        </w:rPr>
        <w:t>奖提名项目公示内容</w:t>
      </w:r>
    </w:p>
    <w:p w14:paraId="5EEE5526" w14:textId="77777777" w:rsidR="00525FD0" w:rsidRDefault="00AE4EEC">
      <w:pPr>
        <w:pStyle w:val="1"/>
        <w:spacing w:beforeLines="0" w:afterLines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/>
          <w:bCs/>
          <w:color w:val="000000"/>
        </w:rPr>
        <w:t>2024</w:t>
      </w:r>
      <w:r>
        <w:rPr>
          <w:rFonts w:ascii="Times New Roman" w:hAnsi="Times New Roman"/>
          <w:bCs/>
          <w:color w:val="000000"/>
        </w:rPr>
        <w:t>年度）</w:t>
      </w:r>
    </w:p>
    <w:p w14:paraId="7A56A630" w14:textId="15F08A61" w:rsidR="00525FD0" w:rsidRDefault="00AE4EEC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一、项目名称：</w:t>
      </w:r>
      <w:r w:rsidR="00A1450B"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杂</w:t>
      </w:r>
      <w:proofErr w:type="gramStart"/>
      <w:r w:rsidR="00A1450B"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环类双光子</w:t>
      </w:r>
      <w:proofErr w:type="gramEnd"/>
      <w:r w:rsidR="00A1450B"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材料：动态可视化癌细胞膜性结构</w:t>
      </w:r>
    </w:p>
    <w:p w14:paraId="3902ADD1" w14:textId="77777777" w:rsidR="00A1450B" w:rsidRPr="00A1450B" w:rsidRDefault="00A1450B" w:rsidP="00A1450B">
      <w:pPr>
        <w:pStyle w:val="a0"/>
        <w:rPr>
          <w:rFonts w:hint="eastAsia"/>
        </w:rPr>
      </w:pPr>
    </w:p>
    <w:p w14:paraId="036C9C85" w14:textId="2FD911B3" w:rsidR="00525FD0" w:rsidRDefault="00AE4EEC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二、提名者及提名意见：</w:t>
      </w:r>
    </w:p>
    <w:p w14:paraId="3588DE37" w14:textId="123E37E3" w:rsid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提名者：安徽大学</w:t>
      </w:r>
    </w:p>
    <w:p w14:paraId="16C8A65F" w14:textId="47F959D8" w:rsidR="00A1450B" w:rsidRP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提名意见：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周虹屏教授长期从事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杂环类非线性光学材料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的设计、开发和应用研究工作，在国家自然科学基金委项目资助下，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围绕“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动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态可视化癌细胞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膜性结构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”展开研究工作，开发了系列杂</w:t>
      </w:r>
      <w:proofErr w:type="gramStart"/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环类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双光子</w:t>
      </w:r>
      <w:proofErr w:type="gramEnd"/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荧光材料，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揭示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了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癌细胞内相关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膜性结构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的时空变化与癌细胞死亡机制，为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指导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精准肿瘤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治疗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提供新思路。相关研究成果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授权专利10余件和发表高水平论文90余篇，受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到国内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外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同行的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关注和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认可。</w:t>
      </w:r>
    </w:p>
    <w:p w14:paraId="77F2BC27" w14:textId="36D2F3E8" w:rsid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我单位认真审阅了该项目推荐书及附件材料，确认全部材料真实有效，符合申报条件及填写要求，同意提名该项目申报2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024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年安徽省自然科学奖。</w:t>
      </w:r>
    </w:p>
    <w:p w14:paraId="55E3E1F9" w14:textId="77777777" w:rsidR="00A1450B" w:rsidRPr="00A1450B" w:rsidRDefault="00A1450B" w:rsidP="00A1450B">
      <w:pPr>
        <w:pStyle w:val="a0"/>
        <w:rPr>
          <w:rFonts w:hint="eastAsia"/>
        </w:rPr>
      </w:pPr>
    </w:p>
    <w:p w14:paraId="7B62F3F1" w14:textId="0C680152" w:rsidR="00525FD0" w:rsidRDefault="00AE4EEC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三、项目简介：</w:t>
      </w:r>
    </w:p>
    <w:p w14:paraId="75A28F53" w14:textId="77777777" w:rsidR="00A1450B" w:rsidRP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细胞内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膜性结构（线粒体、脂滴、溶酶体、细胞膜等）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是生命活动的重要结构基础，其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结构演变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关联着细胞中信号传导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，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影响细胞功能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，可视化其动态变化在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生物化学、医学和健康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lastRenderedPageBreak/>
        <w:t>领域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中具有重要意义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。近年来，基于非线性光学效应发展的双光子显微成像技术，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具有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在生物组织中穿透性好、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背景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荧光干扰小、抗光漂白性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佳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等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特性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，成为研究细胞和活体组织成像的强有力工具。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其中，作为非线性光学材料的重要组成，杂环类有机分子具有光学性质可调控，靶向基团易修饰、生物相容性好等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显著优势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。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基于此，本项目设计开发特异性靶向癌细胞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中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膜性结构的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杂环类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双光子荧光材料，多重维度观察膜性结构的动态变化，揭示相关细胞器的时空变化与癌细胞死亡机制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的关联性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，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有效指导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精准肿瘤治疗。主要科学创新点及贡献如下：</w:t>
      </w:r>
    </w:p>
    <w:p w14:paraId="78616573" w14:textId="77777777" w:rsidR="00A1450B" w:rsidRP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创新点一：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发展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靶向膜性结构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的双光子荧光分子设计新策略</w:t>
      </w:r>
    </w:p>
    <w:p w14:paraId="4656E919" w14:textId="77777777" w:rsidR="009A65FF" w:rsidRDefault="009A65FF" w:rsidP="009A65FF">
      <w:p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A65FF">
        <w:rPr>
          <w:rFonts w:ascii="仿宋" w:eastAsia="仿宋" w:hAnsi="仿宋" w:cs="仿宋" w:hint="eastAsia"/>
          <w:b/>
          <w:color w:val="000000"/>
          <w:sz w:val="32"/>
          <w:szCs w:val="32"/>
        </w:rPr>
        <w:t>选取潜质的双光子荧光基元为结构基础，引入杂环基，调节材料的分子极化率与亲疏水性、表面电势的适配性；基于不同膜性结构的微环境特异性，精准激活材料的双光子荧光，实现定点定位的高保真双光子成像，为非线性光学性质与靶向性协同的设计提供新策略。</w:t>
      </w:r>
    </w:p>
    <w:p w14:paraId="38413335" w14:textId="592A499D" w:rsidR="00A1450B" w:rsidRPr="00A1450B" w:rsidRDefault="00A1450B" w:rsidP="009A65FF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创新点二：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开辟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多维度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可视化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膜性结构动态变化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新途径</w:t>
      </w:r>
    </w:p>
    <w:p w14:paraId="385653D1" w14:textId="77777777" w:rsidR="00A1450B" w:rsidRPr="00A1450B" w:rsidRDefault="00A1450B" w:rsidP="00BC29DF">
      <w:pPr>
        <w:ind w:firstLineChars="200" w:firstLine="643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结合双光子荧光材料高保真长时间成像优势，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多维度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自报道氧化损伤过程中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不同膜性结构的动态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演变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（细胞膜损伤、自噬小体和凋亡小体产生及演变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、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溶酶体吞噬等），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为实时反馈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癌细胞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的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生命活动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提供新途径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。</w:t>
      </w:r>
    </w:p>
    <w:p w14:paraId="62DA516A" w14:textId="77777777" w:rsidR="00A1450B" w:rsidRPr="00A1450B" w:rsidRDefault="00A1450B" w:rsidP="00A1450B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创新点三：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提供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肿瘤精准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治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疗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新思路</w:t>
      </w:r>
    </w:p>
    <w:p w14:paraId="6C723D33" w14:textId="77777777" w:rsidR="00A1450B" w:rsidRPr="00A1450B" w:rsidRDefault="00A1450B" w:rsidP="00BC29DF">
      <w:pPr>
        <w:ind w:firstLineChars="200" w:firstLine="643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基于氧化损伤过程中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不同膜性结构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演变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的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归纳总结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，探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明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膜性结构的时空变化与癌细胞死亡机制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的关联性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，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避免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肿瘤光疗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中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过度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光损伤，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为精准</w:t>
      </w:r>
      <w:r w:rsidRP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治疗</w:t>
      </w:r>
      <w:r w:rsidRPr="00A1450B">
        <w:rPr>
          <w:rFonts w:ascii="仿宋" w:eastAsia="仿宋" w:hAnsi="仿宋" w:cs="仿宋"/>
          <w:b/>
          <w:color w:val="000000"/>
          <w:sz w:val="32"/>
          <w:szCs w:val="32"/>
        </w:rPr>
        <w:t>提供新思路。</w:t>
      </w:r>
    </w:p>
    <w:p w14:paraId="0B8BBAA5" w14:textId="36374BE9" w:rsidR="00525FD0" w:rsidRDefault="000A1F06" w:rsidP="00E160A4">
      <w:pPr>
        <w:pStyle w:val="a9"/>
        <w:spacing w:line="240" w:lineRule="auto"/>
        <w:ind w:firstLine="643"/>
        <w:rPr>
          <w:rFonts w:ascii="仿宋" w:eastAsia="仿宋" w:hAnsi="仿宋" w:cs="仿宋" w:hint="eastAsia"/>
          <w:sz w:val="32"/>
          <w:szCs w:val="32"/>
        </w:rPr>
      </w:pPr>
      <w:r w:rsidRPr="000A1F06">
        <w:rPr>
          <w:rFonts w:ascii="仿宋" w:eastAsia="仿宋" w:hAnsi="仿宋" w:cs="仿宋" w:hint="eastAsia"/>
          <w:b/>
          <w:color w:val="000000"/>
          <w:sz w:val="32"/>
          <w:szCs w:val="32"/>
        </w:rPr>
        <w:t>自2015年以来，本项目先后为安徽大学化学一级学科博士点、教育部科技创新团队的第一研究方向，助力安徽大学材料科学与工程一流学科建设，获批了多项国家自然科学基金项目（面上基金3项和青年基金2项）和安徽省优秀青年基金资助（3项），获</w:t>
      </w:r>
      <w:proofErr w:type="gramStart"/>
      <w:r w:rsidRPr="000A1F06">
        <w:rPr>
          <w:rFonts w:ascii="仿宋" w:eastAsia="仿宋" w:hAnsi="仿宋" w:cs="仿宋" w:hint="eastAsia"/>
          <w:b/>
          <w:color w:val="000000"/>
          <w:sz w:val="32"/>
          <w:szCs w:val="32"/>
        </w:rPr>
        <w:t>批国家</w:t>
      </w:r>
      <w:proofErr w:type="gramEnd"/>
      <w:r w:rsidRPr="000A1F06">
        <w:rPr>
          <w:rFonts w:ascii="仿宋" w:eastAsia="仿宋" w:hAnsi="仿宋" w:cs="仿宋" w:hint="eastAsia"/>
          <w:b/>
          <w:color w:val="000000"/>
          <w:sz w:val="32"/>
          <w:szCs w:val="32"/>
        </w:rPr>
        <w:t>授权发明专利10余件，累计发表相关SCI论文90余篇，5篇代表性论文他</w:t>
      </w:r>
      <w:proofErr w:type="gramStart"/>
      <w:r w:rsidRPr="000A1F06">
        <w:rPr>
          <w:rFonts w:ascii="仿宋" w:eastAsia="仿宋" w:hAnsi="仿宋" w:cs="仿宋" w:hint="eastAsia"/>
          <w:b/>
          <w:color w:val="000000"/>
          <w:sz w:val="32"/>
          <w:szCs w:val="32"/>
        </w:rPr>
        <w:t>引超过</w:t>
      </w:r>
      <w:proofErr w:type="gramEnd"/>
      <w:r w:rsidRPr="000A1F06">
        <w:rPr>
          <w:rFonts w:ascii="仿宋" w:eastAsia="仿宋" w:hAnsi="仿宋" w:cs="仿宋" w:hint="eastAsia"/>
          <w:b/>
          <w:color w:val="000000"/>
          <w:sz w:val="32"/>
          <w:szCs w:val="32"/>
        </w:rPr>
        <w:t>200次（Web of Science检索，共计234次）。相关研究成果得到国际、国内同行的高度认可。</w:t>
      </w:r>
    </w:p>
    <w:p w14:paraId="438AE32F" w14:textId="71ED9AF9" w:rsidR="00525FD0" w:rsidRDefault="00AE4EEC">
      <w:pPr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四、代表性论文专著目录：</w:t>
      </w:r>
    </w:p>
    <w:tbl>
      <w:tblPr>
        <w:tblW w:w="8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905"/>
        <w:gridCol w:w="874"/>
        <w:gridCol w:w="726"/>
        <w:gridCol w:w="1095"/>
        <w:gridCol w:w="889"/>
        <w:gridCol w:w="1078"/>
        <w:gridCol w:w="623"/>
        <w:gridCol w:w="705"/>
        <w:gridCol w:w="712"/>
      </w:tblGrid>
      <w:tr w:rsidR="00A1450B" w14:paraId="3F8DCFF9" w14:textId="77777777" w:rsidTr="00061FF0">
        <w:trPr>
          <w:trHeight w:val="1095"/>
          <w:jc w:val="center"/>
        </w:trPr>
        <w:tc>
          <w:tcPr>
            <w:tcW w:w="369" w:type="dxa"/>
            <w:vAlign w:val="center"/>
          </w:tcPr>
          <w:p w14:paraId="36FD910B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 w14:paraId="38B229C4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论文（专著）</w:t>
            </w:r>
          </w:p>
          <w:p w14:paraId="25F904B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名称</w:t>
            </w:r>
            <w:r>
              <w:rPr>
                <w:rFonts w:ascii="Times New Roman" w:eastAsia="黑体"/>
                <w:bCs/>
                <w:szCs w:val="21"/>
              </w:rPr>
              <w:t>/</w:t>
            </w:r>
            <w:r>
              <w:rPr>
                <w:rFonts w:ascii="Times New Roman" w:eastAsia="黑体"/>
                <w:bCs/>
                <w:szCs w:val="21"/>
              </w:rPr>
              <w:t>刊名</w:t>
            </w:r>
          </w:p>
          <w:p w14:paraId="5D36C96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/</w:t>
            </w:r>
            <w:r>
              <w:rPr>
                <w:rFonts w:ascii="Times New Roman" w:eastAsia="黑体"/>
                <w:bCs/>
                <w:szCs w:val="21"/>
              </w:rPr>
              <w:t>作者</w:t>
            </w:r>
          </w:p>
        </w:tc>
        <w:tc>
          <w:tcPr>
            <w:tcW w:w="874" w:type="dxa"/>
            <w:vAlign w:val="center"/>
          </w:tcPr>
          <w:p w14:paraId="19D8737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年卷页码</w:t>
            </w:r>
          </w:p>
          <w:p w14:paraId="1FD2854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（</w:t>
            </w:r>
            <w:r>
              <w:rPr>
                <w:rFonts w:ascii="Times New Roman" w:eastAsia="黑体"/>
                <w:bCs/>
                <w:szCs w:val="21"/>
              </w:rPr>
              <w:t>xx</w:t>
            </w:r>
            <w:r>
              <w:rPr>
                <w:rFonts w:ascii="Times New Roman" w:eastAsia="黑体"/>
                <w:bCs/>
                <w:szCs w:val="21"/>
              </w:rPr>
              <w:t>年</w:t>
            </w:r>
            <w:r>
              <w:rPr>
                <w:rFonts w:ascii="Times New Roman" w:eastAsia="黑体"/>
                <w:bCs/>
                <w:szCs w:val="21"/>
              </w:rPr>
              <w:t>xx</w:t>
            </w:r>
            <w:r>
              <w:rPr>
                <w:rFonts w:ascii="Times New Roman" w:eastAsia="黑体"/>
                <w:bCs/>
                <w:szCs w:val="21"/>
              </w:rPr>
              <w:t>卷</w:t>
            </w:r>
          </w:p>
          <w:p w14:paraId="6A4FE7F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xx</w:t>
            </w:r>
            <w:r>
              <w:rPr>
                <w:rFonts w:ascii="Times New Roman" w:eastAsia="黑体"/>
                <w:bCs/>
                <w:szCs w:val="21"/>
              </w:rPr>
              <w:t>页）</w:t>
            </w:r>
          </w:p>
        </w:tc>
        <w:tc>
          <w:tcPr>
            <w:tcW w:w="726" w:type="dxa"/>
            <w:vAlign w:val="center"/>
          </w:tcPr>
          <w:p w14:paraId="168282D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发表时间年月</w:t>
            </w:r>
            <w:r>
              <w:rPr>
                <w:rFonts w:ascii="Times New Roman" w:eastAsia="黑体"/>
                <w:bCs/>
                <w:szCs w:val="21"/>
              </w:rPr>
              <w:t xml:space="preserve"> </w:t>
            </w:r>
            <w:r>
              <w:rPr>
                <w:rFonts w:ascii="Times New Roman" w:eastAsia="黑体"/>
                <w:bCs/>
                <w:szCs w:val="21"/>
              </w:rPr>
              <w:t>日</w:t>
            </w:r>
          </w:p>
        </w:tc>
        <w:tc>
          <w:tcPr>
            <w:tcW w:w="1095" w:type="dxa"/>
            <w:vAlign w:val="center"/>
          </w:tcPr>
          <w:p w14:paraId="27E1331D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color w:val="000000"/>
                <w:szCs w:val="28"/>
              </w:rPr>
              <w:t>通讯作者（含共同）</w:t>
            </w:r>
          </w:p>
        </w:tc>
        <w:tc>
          <w:tcPr>
            <w:tcW w:w="889" w:type="dxa"/>
            <w:vAlign w:val="center"/>
          </w:tcPr>
          <w:p w14:paraId="0572B94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color w:val="000000"/>
                <w:szCs w:val="28"/>
              </w:rPr>
              <w:t>第一作者（含共同）</w:t>
            </w:r>
          </w:p>
        </w:tc>
        <w:tc>
          <w:tcPr>
            <w:tcW w:w="1078" w:type="dxa"/>
            <w:vAlign w:val="center"/>
          </w:tcPr>
          <w:p w14:paraId="1D3B89A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国内作者</w:t>
            </w:r>
          </w:p>
        </w:tc>
        <w:tc>
          <w:tcPr>
            <w:tcW w:w="623" w:type="dxa"/>
          </w:tcPr>
          <w:p w14:paraId="101D8F5D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eastAsia="黑体"/>
                <w:bCs/>
                <w:color w:val="000000"/>
                <w:szCs w:val="21"/>
              </w:rPr>
              <w:t>他引总次数</w:t>
            </w:r>
          </w:p>
        </w:tc>
        <w:tc>
          <w:tcPr>
            <w:tcW w:w="705" w:type="dxa"/>
            <w:vAlign w:val="center"/>
          </w:tcPr>
          <w:p w14:paraId="59118A4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检索数据库</w:t>
            </w:r>
          </w:p>
        </w:tc>
        <w:tc>
          <w:tcPr>
            <w:tcW w:w="712" w:type="dxa"/>
            <w:vAlign w:val="center"/>
          </w:tcPr>
          <w:p w14:paraId="10F26EB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eastAsia="黑体"/>
                <w:bCs/>
                <w:color w:val="000000"/>
                <w:szCs w:val="21"/>
              </w:rPr>
              <w:t>论文署名单位是否包含国外单位</w:t>
            </w:r>
          </w:p>
        </w:tc>
      </w:tr>
      <w:tr w:rsidR="00A1450B" w14:paraId="3A2ED18E" w14:textId="77777777" w:rsidTr="00061FF0">
        <w:trPr>
          <w:trHeight w:hRule="exact" w:val="4634"/>
          <w:jc w:val="center"/>
        </w:trPr>
        <w:tc>
          <w:tcPr>
            <w:tcW w:w="369" w:type="dxa"/>
            <w:vAlign w:val="center"/>
          </w:tcPr>
          <w:p w14:paraId="3E706277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bookmarkStart w:id="0" w:name="_Toc30399"/>
            <w:r>
              <w:rPr>
                <w:rFonts w:ascii="Times New Roman"/>
                <w:bCs/>
                <w:szCs w:val="21"/>
              </w:rPr>
              <w:lastRenderedPageBreak/>
              <w:t>1</w:t>
            </w:r>
            <w:bookmarkEnd w:id="0"/>
          </w:p>
        </w:tc>
        <w:tc>
          <w:tcPr>
            <w:tcW w:w="1905" w:type="dxa"/>
            <w:vAlign w:val="center"/>
          </w:tcPr>
          <w:p w14:paraId="787E555B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Coumarin-Based Fluorescent Probes for Super-resolution and Dynamic Tracking of Lipid Droplets /Analytical Chemistry/ Hongkang Xu, Huihui Zhang, Gang Liu, Lin Kong, Xiaojiao Zhu, Xiaohe Tian, Zhongping Zhang, Ruilong Zhang, Zhichao Wu, Yupeng Tian, Hongping Zhou</w:t>
            </w:r>
          </w:p>
        </w:tc>
        <w:tc>
          <w:tcPr>
            <w:tcW w:w="874" w:type="dxa"/>
            <w:vAlign w:val="center"/>
          </w:tcPr>
          <w:p w14:paraId="219D740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2019</w:t>
            </w:r>
            <w:r>
              <w:rPr>
                <w:rFonts w:ascii="Times New Roman" w:hint="eastAsia"/>
                <w:bCs/>
              </w:rPr>
              <w:t>年</w:t>
            </w:r>
            <w:r>
              <w:rPr>
                <w:rFonts w:ascii="Times New Roman"/>
                <w:bCs/>
              </w:rPr>
              <w:t>91</w:t>
            </w:r>
            <w:r>
              <w:rPr>
                <w:rFonts w:ascii="Times New Roman" w:hint="eastAsia"/>
                <w:bCs/>
              </w:rPr>
              <w:t>卷</w:t>
            </w:r>
            <w:r>
              <w:rPr>
                <w:rFonts w:ascii="Times New Roman"/>
                <w:bCs/>
              </w:rPr>
              <w:t>977–982</w:t>
            </w:r>
            <w:r>
              <w:rPr>
                <w:rFonts w:ascii="Times New Roman" w:hint="eastAsia"/>
                <w:bCs/>
              </w:rPr>
              <w:t>页</w:t>
            </w:r>
          </w:p>
        </w:tc>
        <w:tc>
          <w:tcPr>
            <w:tcW w:w="726" w:type="dxa"/>
            <w:vAlign w:val="center"/>
          </w:tcPr>
          <w:p w14:paraId="30780C3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201</w:t>
            </w:r>
            <w:r>
              <w:rPr>
                <w:rFonts w:ascii="Times New Roman" w:hint="eastAsia"/>
                <w:bCs/>
              </w:rPr>
              <w:t>8</w:t>
            </w:r>
            <w:r>
              <w:rPr>
                <w:rFonts w:ascii="Times New Roman"/>
                <w:bCs/>
              </w:rPr>
              <w:t>-</w:t>
            </w:r>
            <w:r>
              <w:rPr>
                <w:rFonts w:ascii="Times New Roman" w:hint="eastAsia"/>
                <w:bCs/>
              </w:rPr>
              <w:t>12</w:t>
            </w:r>
            <w:r>
              <w:rPr>
                <w:rFonts w:ascii="Times New Roman"/>
                <w:bCs/>
              </w:rPr>
              <w:t>-</w:t>
            </w:r>
            <w:r>
              <w:rPr>
                <w:rFonts w:ascii="Times New Roman" w:hint="eastAsia"/>
                <w:bCs/>
              </w:rPr>
              <w:t>03</w:t>
            </w:r>
          </w:p>
        </w:tc>
        <w:tc>
          <w:tcPr>
            <w:tcW w:w="1095" w:type="dxa"/>
            <w:vAlign w:val="center"/>
          </w:tcPr>
          <w:p w14:paraId="0879D9F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Xiaojiao Zhu</w:t>
            </w:r>
            <w:r>
              <w:rPr>
                <w:rFonts w:ascii="Times New Roman" w:hint="eastAsia"/>
                <w:bCs/>
              </w:rPr>
              <w:t xml:space="preserve">, </w:t>
            </w:r>
            <w:r>
              <w:rPr>
                <w:rFonts w:ascii="Times New Roman"/>
                <w:bCs/>
              </w:rPr>
              <w:t>Hongping Zhou</w:t>
            </w:r>
          </w:p>
        </w:tc>
        <w:tc>
          <w:tcPr>
            <w:tcW w:w="889" w:type="dxa"/>
            <w:vAlign w:val="center"/>
          </w:tcPr>
          <w:p w14:paraId="45AB00B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Hongkang Xu</w:t>
            </w:r>
          </w:p>
        </w:tc>
        <w:tc>
          <w:tcPr>
            <w:tcW w:w="1078" w:type="dxa"/>
            <w:vAlign w:val="center"/>
          </w:tcPr>
          <w:p w14:paraId="4C464FBB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许洪康，张灰灰，朱小姣，田肖和，张忠平，张瑞龙，吴志超，田玉鹏，周虹屏</w:t>
            </w:r>
          </w:p>
        </w:tc>
        <w:tc>
          <w:tcPr>
            <w:tcW w:w="623" w:type="dxa"/>
          </w:tcPr>
          <w:p w14:paraId="406D931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46B00716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6A0C9FE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015F0A4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361A29D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10</w:t>
            </w:r>
            <w:r>
              <w:rPr>
                <w:rFonts w:ascii="Times New Roman" w:hint="eastAsia"/>
                <w:bCs/>
              </w:rPr>
              <w:t>0</w:t>
            </w:r>
          </w:p>
        </w:tc>
        <w:tc>
          <w:tcPr>
            <w:tcW w:w="705" w:type="dxa"/>
            <w:vAlign w:val="center"/>
          </w:tcPr>
          <w:p w14:paraId="24C349F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72F849A9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否</w:t>
            </w:r>
          </w:p>
        </w:tc>
      </w:tr>
      <w:tr w:rsidR="00A1450B" w14:paraId="1DEC20B4" w14:textId="77777777" w:rsidTr="00061FF0">
        <w:trPr>
          <w:trHeight w:hRule="exact" w:val="5097"/>
          <w:jc w:val="center"/>
        </w:trPr>
        <w:tc>
          <w:tcPr>
            <w:tcW w:w="369" w:type="dxa"/>
            <w:vAlign w:val="center"/>
          </w:tcPr>
          <w:p w14:paraId="312A037D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bookmarkStart w:id="1" w:name="_Toc22006"/>
            <w:r>
              <w:rPr>
                <w:rFonts w:ascii="Times New Roman"/>
                <w:bCs/>
                <w:szCs w:val="21"/>
              </w:rPr>
              <w:t>2</w:t>
            </w:r>
            <w:bookmarkEnd w:id="1"/>
          </w:p>
        </w:tc>
        <w:tc>
          <w:tcPr>
            <w:tcW w:w="1905" w:type="dxa"/>
            <w:vAlign w:val="center"/>
          </w:tcPr>
          <w:p w14:paraId="33D49027" w14:textId="77777777" w:rsidR="00A1450B" w:rsidRDefault="00A1450B" w:rsidP="00061F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 NIR-I </w:t>
            </w:r>
            <w:r>
              <w:rPr>
                <w:rFonts w:ascii="Times New Roman" w:hAnsi="Times New Roman" w:hint="eastAsia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 xml:space="preserve">ight-responsive </w:t>
            </w:r>
            <w:r>
              <w:rPr>
                <w:rFonts w:ascii="Times New Roman" w:hAnsi="Times New Roman" w:hint="eastAsia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 xml:space="preserve">uperoxide </w:t>
            </w:r>
            <w:r>
              <w:rPr>
                <w:rFonts w:ascii="Times New Roman" w:hAnsi="Times New Roman" w:hint="eastAsia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adical </w:t>
            </w:r>
            <w:r>
              <w:rPr>
                <w:rFonts w:ascii="Times New Roman" w:hAnsi="Times New Roman" w:hint="eastAsia"/>
                <w:bCs/>
              </w:rPr>
              <w:t>G</w:t>
            </w:r>
            <w:r>
              <w:rPr>
                <w:rFonts w:ascii="Times New Roman" w:hAnsi="Times New Roman"/>
                <w:bCs/>
              </w:rPr>
              <w:t xml:space="preserve">enerator with </w:t>
            </w:r>
            <w:r>
              <w:rPr>
                <w:rFonts w:ascii="Times New Roman" w:hAnsi="Times New Roman" w:hint="eastAsia"/>
                <w:bCs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ancer </w:t>
            </w:r>
            <w:r>
              <w:rPr>
                <w:rFonts w:ascii="Times New Roman" w:hAnsi="Times New Roman" w:hint="eastAsia"/>
                <w:bCs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ell </w:t>
            </w:r>
            <w:r>
              <w:rPr>
                <w:rFonts w:ascii="Times New Roman" w:hAnsi="Times New Roman" w:hint="eastAsia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 xml:space="preserve">embrane </w:t>
            </w:r>
            <w:r>
              <w:rPr>
                <w:rFonts w:ascii="Times New Roman" w:hAnsi="Times New Roman" w:hint="eastAsia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 xml:space="preserve">argeting </w:t>
            </w:r>
            <w:r>
              <w:rPr>
                <w:rFonts w:ascii="Times New Roman" w:hAnsi="Times New Roman" w:hint="eastAsia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bility for </w:t>
            </w:r>
            <w:r>
              <w:rPr>
                <w:rFonts w:ascii="Times New Roman" w:hAnsi="Times New Roman" w:hint="eastAsia"/>
                <w:bCs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nhanced </w:t>
            </w:r>
            <w:r>
              <w:rPr>
                <w:rFonts w:ascii="Times New Roman" w:hAnsi="Times New Roman" w:hint="eastAsia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maging-guided </w:t>
            </w:r>
            <w:r>
              <w:rPr>
                <w:rFonts w:ascii="Times New Roman" w:hAnsi="Times New Roman" w:hint="eastAsia"/>
                <w:bCs/>
              </w:rPr>
              <w:t>P</w:t>
            </w:r>
            <w:r>
              <w:rPr>
                <w:rFonts w:ascii="Times New Roman" w:hAnsi="Times New Roman"/>
                <w:bCs/>
              </w:rPr>
              <w:t xml:space="preserve">hotodynamic </w:t>
            </w:r>
            <w:r>
              <w:rPr>
                <w:rFonts w:ascii="Times New Roman" w:hAnsi="Times New Roman" w:hint="eastAsia"/>
                <w:bCs/>
              </w:rPr>
              <w:t>T</w:t>
            </w:r>
            <w:r>
              <w:rPr>
                <w:rFonts w:ascii="Times New Roman" w:hAnsi="Times New Roman"/>
                <w:bCs/>
              </w:rPr>
              <w:t>herapy</w:t>
            </w:r>
          </w:p>
          <w:p w14:paraId="7CAAF56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/Chemical Science/ Yingcui Bu, Tianren Xu, Xiaojiao Zhu, Jie Zhang, Lianke Wang, Zhipeng Yu, Jianhua Yu, Aidong Wang, Yupeng Tian, Hongping Zhou,</w:t>
            </w: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>Yi Xie</w:t>
            </w:r>
          </w:p>
        </w:tc>
        <w:tc>
          <w:tcPr>
            <w:tcW w:w="874" w:type="dxa"/>
            <w:vAlign w:val="center"/>
          </w:tcPr>
          <w:p w14:paraId="4595EE2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2020</w:t>
            </w:r>
            <w:r>
              <w:rPr>
                <w:rFonts w:ascii="Times New Roman" w:hint="eastAsia"/>
                <w:bCs/>
              </w:rPr>
              <w:t>年</w:t>
            </w:r>
            <w:r>
              <w:rPr>
                <w:rFonts w:ascii="Times New Roman"/>
                <w:bCs/>
              </w:rPr>
              <w:t>11</w:t>
            </w:r>
            <w:r>
              <w:rPr>
                <w:rFonts w:ascii="Times New Roman" w:hint="eastAsia"/>
                <w:bCs/>
              </w:rPr>
              <w:t>卷</w:t>
            </w:r>
            <w:r>
              <w:rPr>
                <w:rFonts w:ascii="Times New Roman"/>
                <w:bCs/>
              </w:rPr>
              <w:t>10279-10286</w:t>
            </w:r>
            <w:r>
              <w:rPr>
                <w:rFonts w:ascii="Times New Roman" w:hint="eastAsia"/>
                <w:bCs/>
              </w:rPr>
              <w:t>页</w:t>
            </w:r>
          </w:p>
        </w:tc>
        <w:tc>
          <w:tcPr>
            <w:tcW w:w="726" w:type="dxa"/>
            <w:vAlign w:val="center"/>
          </w:tcPr>
          <w:p w14:paraId="23DD1CF7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2020-</w:t>
            </w:r>
            <w:r>
              <w:rPr>
                <w:rFonts w:ascii="Times New Roman" w:hint="eastAsia"/>
                <w:bCs/>
              </w:rPr>
              <w:t>09</w:t>
            </w:r>
            <w:r>
              <w:rPr>
                <w:rFonts w:ascii="Times New Roman"/>
                <w:bCs/>
              </w:rPr>
              <w:t>-0</w:t>
            </w:r>
            <w:r>
              <w:rPr>
                <w:rFonts w:ascii="Times New Roman" w:hint="eastAsia"/>
                <w:bCs/>
              </w:rPr>
              <w:t>5</w:t>
            </w:r>
          </w:p>
        </w:tc>
        <w:tc>
          <w:tcPr>
            <w:tcW w:w="1095" w:type="dxa"/>
            <w:vAlign w:val="center"/>
          </w:tcPr>
          <w:p w14:paraId="74ACF35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Xiaojiao Zhu</w:t>
            </w:r>
            <w:r>
              <w:rPr>
                <w:rFonts w:ascii="Times New Roman" w:hint="eastAsia"/>
                <w:bCs/>
              </w:rPr>
              <w:t xml:space="preserve">, </w:t>
            </w:r>
            <w:r>
              <w:rPr>
                <w:rFonts w:ascii="Times New Roman"/>
                <w:bCs/>
              </w:rPr>
              <w:t>Hongping Zhou</w:t>
            </w:r>
          </w:p>
        </w:tc>
        <w:tc>
          <w:tcPr>
            <w:tcW w:w="889" w:type="dxa"/>
            <w:vAlign w:val="center"/>
          </w:tcPr>
          <w:p w14:paraId="29FF3E1F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Yingcui Bu</w:t>
            </w:r>
          </w:p>
        </w:tc>
        <w:tc>
          <w:tcPr>
            <w:tcW w:w="1078" w:type="dxa"/>
            <w:vAlign w:val="center"/>
          </w:tcPr>
          <w:p w14:paraId="3FFF010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卜应翠，徐天任，朱小姣，汪联可，余志鹏，郁建华，王爱东，田玉鹏，周虹屏，谢毅</w:t>
            </w:r>
          </w:p>
        </w:tc>
        <w:tc>
          <w:tcPr>
            <w:tcW w:w="623" w:type="dxa"/>
          </w:tcPr>
          <w:p w14:paraId="34D84F1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695F6A3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0C79BA29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34E7810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304CA92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</w:p>
          <w:p w14:paraId="08011F7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7</w:t>
            </w:r>
            <w:r>
              <w:rPr>
                <w:rFonts w:ascii="Times New Roman" w:hint="eastAsia"/>
                <w:bCs/>
              </w:rPr>
              <w:t>0</w:t>
            </w:r>
          </w:p>
        </w:tc>
        <w:tc>
          <w:tcPr>
            <w:tcW w:w="705" w:type="dxa"/>
            <w:vAlign w:val="center"/>
          </w:tcPr>
          <w:p w14:paraId="2E2024B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222C70B2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否</w:t>
            </w:r>
          </w:p>
        </w:tc>
      </w:tr>
      <w:tr w:rsidR="00A1450B" w14:paraId="26175262" w14:textId="77777777" w:rsidTr="00061FF0">
        <w:trPr>
          <w:trHeight w:hRule="exact" w:val="4547"/>
          <w:jc w:val="center"/>
        </w:trPr>
        <w:tc>
          <w:tcPr>
            <w:tcW w:w="369" w:type="dxa"/>
            <w:vAlign w:val="center"/>
          </w:tcPr>
          <w:p w14:paraId="06AF4A2C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bookmarkStart w:id="2" w:name="_Toc17228"/>
            <w:r>
              <w:rPr>
                <w:rFonts w:ascii="Times New Roman"/>
                <w:bCs/>
                <w:szCs w:val="21"/>
              </w:rPr>
              <w:lastRenderedPageBreak/>
              <w:t>3</w:t>
            </w:r>
            <w:bookmarkEnd w:id="2"/>
          </w:p>
        </w:tc>
        <w:tc>
          <w:tcPr>
            <w:tcW w:w="1905" w:type="dxa"/>
            <w:vAlign w:val="center"/>
          </w:tcPr>
          <w:p w14:paraId="0DBD36FB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AIE-Based Theranostic Agent: In Situ Tracking Mitophagy Prior to Late Apoptosis To Guide the Photodynamic Therapy/</w:t>
            </w: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>ACS Applied Materials &amp; Interfaces/</w:t>
            </w: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>Junjun Wang, Xiaojiao Zhu, Jie Zhang, Haiyan Wang, Gang Liu, Yingcui Bu, Jianhua Yu, Yupeng Tian, Hongping Zhou</w:t>
            </w:r>
          </w:p>
        </w:tc>
        <w:tc>
          <w:tcPr>
            <w:tcW w:w="874" w:type="dxa"/>
            <w:vAlign w:val="center"/>
          </w:tcPr>
          <w:p w14:paraId="2EF2E91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2020</w:t>
            </w:r>
            <w:r>
              <w:rPr>
                <w:rFonts w:ascii="Times New Roman" w:hint="eastAsia"/>
                <w:bCs/>
              </w:rPr>
              <w:t>年</w:t>
            </w:r>
            <w:r>
              <w:rPr>
                <w:rFonts w:ascii="Times New Roman"/>
                <w:bCs/>
              </w:rPr>
              <w:t>12</w:t>
            </w:r>
            <w:r>
              <w:rPr>
                <w:rFonts w:ascii="Times New Roman" w:hint="eastAsia"/>
                <w:bCs/>
              </w:rPr>
              <w:t>卷</w:t>
            </w:r>
            <w:r>
              <w:rPr>
                <w:rFonts w:ascii="Times New Roman"/>
                <w:bCs/>
              </w:rPr>
              <w:t>1988-1996</w:t>
            </w:r>
            <w:r>
              <w:rPr>
                <w:rFonts w:ascii="Times New Roman" w:hint="eastAsia"/>
                <w:bCs/>
              </w:rPr>
              <w:t>页</w:t>
            </w:r>
          </w:p>
        </w:tc>
        <w:tc>
          <w:tcPr>
            <w:tcW w:w="726" w:type="dxa"/>
            <w:vAlign w:val="center"/>
          </w:tcPr>
          <w:p w14:paraId="37E5E4A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</w:t>
            </w:r>
            <w:r>
              <w:rPr>
                <w:rFonts w:ascii="Times New Roman" w:hint="eastAsia"/>
                <w:bCs/>
              </w:rPr>
              <w:t>19</w:t>
            </w:r>
            <w:r>
              <w:rPr>
                <w:rFonts w:ascii="Times New Roman"/>
                <w:bCs/>
              </w:rPr>
              <w:t>-1</w:t>
            </w:r>
            <w:r>
              <w:rPr>
                <w:rFonts w:ascii="Times New Roman" w:hint="eastAsia"/>
                <w:bCs/>
              </w:rPr>
              <w:t>1</w:t>
            </w:r>
            <w:r>
              <w:rPr>
                <w:rFonts w:ascii="Times New Roman"/>
                <w:bCs/>
              </w:rPr>
              <w:t>-</w:t>
            </w:r>
            <w:r>
              <w:rPr>
                <w:rFonts w:ascii="Times New Roman" w:hint="eastAsia"/>
                <w:bCs/>
              </w:rPr>
              <w:t>2</w:t>
            </w:r>
            <w:r>
              <w:rPr>
                <w:rFonts w:ascii="Times New Roman"/>
                <w:bCs/>
              </w:rPr>
              <w:t>7</w:t>
            </w:r>
          </w:p>
        </w:tc>
        <w:tc>
          <w:tcPr>
            <w:tcW w:w="1095" w:type="dxa"/>
            <w:vAlign w:val="center"/>
          </w:tcPr>
          <w:p w14:paraId="098118A9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Xiaojiao Zhu</w:t>
            </w:r>
            <w:r>
              <w:rPr>
                <w:rFonts w:ascii="Times New Roman" w:hint="eastAsia"/>
                <w:bCs/>
              </w:rPr>
              <w:t xml:space="preserve">, </w:t>
            </w:r>
            <w:r>
              <w:rPr>
                <w:rFonts w:ascii="Times New Roman"/>
                <w:bCs/>
              </w:rPr>
              <w:t>Hongping Zhou</w:t>
            </w:r>
          </w:p>
        </w:tc>
        <w:tc>
          <w:tcPr>
            <w:tcW w:w="889" w:type="dxa"/>
            <w:vAlign w:val="center"/>
          </w:tcPr>
          <w:p w14:paraId="389BBDE6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Junjun Wang, Xiaojiao Zhu</w:t>
            </w:r>
          </w:p>
        </w:tc>
        <w:tc>
          <w:tcPr>
            <w:tcW w:w="1078" w:type="dxa"/>
            <w:vAlign w:val="center"/>
          </w:tcPr>
          <w:p w14:paraId="49D0E45D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王君君，朱小姣，张杰，</w:t>
            </w:r>
          </w:p>
          <w:p w14:paraId="6DD5AC62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王海燕，刘刚，</w:t>
            </w:r>
          </w:p>
          <w:p w14:paraId="39431B52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卜应翠，郁建华，田玉鹏，周虹屏</w:t>
            </w:r>
          </w:p>
        </w:tc>
        <w:tc>
          <w:tcPr>
            <w:tcW w:w="623" w:type="dxa"/>
          </w:tcPr>
          <w:p w14:paraId="5E7BEC0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531AE78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4A3183E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689E2EE6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177A22AC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38</w:t>
            </w:r>
          </w:p>
        </w:tc>
        <w:tc>
          <w:tcPr>
            <w:tcW w:w="705" w:type="dxa"/>
            <w:vAlign w:val="center"/>
          </w:tcPr>
          <w:p w14:paraId="4390D04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25937C6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否</w:t>
            </w:r>
          </w:p>
        </w:tc>
      </w:tr>
      <w:tr w:rsidR="00A1450B" w14:paraId="2DC03649" w14:textId="77777777" w:rsidTr="00061FF0">
        <w:trPr>
          <w:trHeight w:hRule="exact" w:val="5228"/>
          <w:jc w:val="center"/>
        </w:trPr>
        <w:tc>
          <w:tcPr>
            <w:tcW w:w="369" w:type="dxa"/>
            <w:vAlign w:val="center"/>
          </w:tcPr>
          <w:p w14:paraId="67C03578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bookmarkStart w:id="3" w:name="_Toc29064"/>
            <w:r>
              <w:rPr>
                <w:rFonts w:ascii="Times New Roman"/>
                <w:bCs/>
                <w:szCs w:val="21"/>
              </w:rPr>
              <w:t>4</w:t>
            </w:r>
            <w:bookmarkEnd w:id="3"/>
          </w:p>
        </w:tc>
        <w:tc>
          <w:tcPr>
            <w:tcW w:w="1905" w:type="dxa"/>
            <w:vAlign w:val="center"/>
          </w:tcPr>
          <w:p w14:paraId="53D01B74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A RNA-Targeted Two-Photon Bioprobe with High Selective Permeability into Nuclear Pore Complexes for Dynamically Tracking the Autophagy Process among Multi-Organelles / Analytical Chemistry/ Huihui Zhang, Xiaojiao Zhu, Hong Li, Gang Liu, Junjun Wang, Aidong Wang, Lin Kong, Weiju Zhu, Hongping Zhou</w:t>
            </w:r>
          </w:p>
        </w:tc>
        <w:tc>
          <w:tcPr>
            <w:tcW w:w="874" w:type="dxa"/>
            <w:vAlign w:val="center"/>
          </w:tcPr>
          <w:p w14:paraId="71BA0954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2019</w:t>
            </w:r>
            <w:r>
              <w:rPr>
                <w:rFonts w:ascii="Times New Roman" w:hint="eastAsia"/>
                <w:bCs/>
              </w:rPr>
              <w:t>年</w:t>
            </w:r>
            <w:r>
              <w:rPr>
                <w:rFonts w:ascii="Times New Roman"/>
                <w:bCs/>
              </w:rPr>
              <w:t>91</w:t>
            </w:r>
            <w:r>
              <w:rPr>
                <w:rFonts w:ascii="Times New Roman" w:hint="eastAsia"/>
                <w:bCs/>
              </w:rPr>
              <w:t>卷</w:t>
            </w:r>
            <w:r>
              <w:rPr>
                <w:rFonts w:ascii="Times New Roman"/>
                <w:bCs/>
              </w:rPr>
              <w:t>14911-14919</w:t>
            </w:r>
            <w:r>
              <w:rPr>
                <w:rFonts w:ascii="Times New Roman" w:hint="eastAsia"/>
                <w:bCs/>
              </w:rPr>
              <w:t>页</w:t>
            </w:r>
          </w:p>
        </w:tc>
        <w:tc>
          <w:tcPr>
            <w:tcW w:w="726" w:type="dxa"/>
            <w:vAlign w:val="center"/>
          </w:tcPr>
          <w:p w14:paraId="0904D3B4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2019-1</w:t>
            </w:r>
            <w:r>
              <w:rPr>
                <w:rFonts w:ascii="Times New Roman" w:hint="eastAsia"/>
                <w:bCs/>
              </w:rPr>
              <w:t>1</w:t>
            </w:r>
            <w:r>
              <w:rPr>
                <w:rFonts w:ascii="Times New Roman"/>
                <w:bCs/>
              </w:rPr>
              <w:t>-0</w:t>
            </w:r>
            <w:r>
              <w:rPr>
                <w:rFonts w:ascii="Times New Roman" w:hint="eastAsia"/>
                <w:bCs/>
              </w:rPr>
              <w:t>6</w:t>
            </w:r>
          </w:p>
        </w:tc>
        <w:tc>
          <w:tcPr>
            <w:tcW w:w="1095" w:type="dxa"/>
            <w:vAlign w:val="center"/>
          </w:tcPr>
          <w:p w14:paraId="193A615B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Xiaojiao Zhu</w:t>
            </w:r>
            <w:r>
              <w:rPr>
                <w:rFonts w:ascii="Times New Roman" w:hint="eastAsia"/>
                <w:bCs/>
              </w:rPr>
              <w:t xml:space="preserve">, </w:t>
            </w:r>
            <w:r>
              <w:rPr>
                <w:rFonts w:ascii="Times New Roman"/>
                <w:bCs/>
              </w:rPr>
              <w:t>Hongping Zhou</w:t>
            </w:r>
          </w:p>
        </w:tc>
        <w:tc>
          <w:tcPr>
            <w:tcW w:w="889" w:type="dxa"/>
            <w:vAlign w:val="center"/>
          </w:tcPr>
          <w:p w14:paraId="6FB5A60A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Huihui Zhang, Xiaojiao Zhu</w:t>
            </w:r>
          </w:p>
          <w:p w14:paraId="26AFC08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Hong Li</w:t>
            </w:r>
          </w:p>
        </w:tc>
        <w:tc>
          <w:tcPr>
            <w:tcW w:w="1078" w:type="dxa"/>
            <w:vAlign w:val="center"/>
          </w:tcPr>
          <w:p w14:paraId="3F78B382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张灰灰，朱小姣，李红，</w:t>
            </w:r>
          </w:p>
          <w:p w14:paraId="148B673C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刘刚，</w:t>
            </w:r>
          </w:p>
          <w:p w14:paraId="43041694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王君君，王爱东，孔林，</w:t>
            </w:r>
          </w:p>
          <w:p w14:paraId="0EE304EF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朱维菊，周虹屏</w:t>
            </w:r>
          </w:p>
        </w:tc>
        <w:tc>
          <w:tcPr>
            <w:tcW w:w="623" w:type="dxa"/>
          </w:tcPr>
          <w:p w14:paraId="3640FE2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7662A98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420F9DC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6C25ACF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7C6A7F36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rPr>
                <w:rFonts w:ascii="Times New Roman"/>
                <w:bCs/>
                <w:szCs w:val="21"/>
              </w:rPr>
            </w:pPr>
          </w:p>
          <w:p w14:paraId="1C9F2D09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22</w:t>
            </w:r>
          </w:p>
        </w:tc>
        <w:tc>
          <w:tcPr>
            <w:tcW w:w="705" w:type="dxa"/>
            <w:vAlign w:val="center"/>
          </w:tcPr>
          <w:p w14:paraId="218F73D5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175B89C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否</w:t>
            </w:r>
          </w:p>
        </w:tc>
      </w:tr>
      <w:tr w:rsidR="00A1450B" w14:paraId="029D4271" w14:textId="77777777" w:rsidTr="00061FF0">
        <w:trPr>
          <w:trHeight w:hRule="exact" w:val="3970"/>
          <w:jc w:val="center"/>
        </w:trPr>
        <w:tc>
          <w:tcPr>
            <w:tcW w:w="369" w:type="dxa"/>
            <w:vAlign w:val="center"/>
          </w:tcPr>
          <w:p w14:paraId="41EF5673" w14:textId="77777777" w:rsidR="00A1450B" w:rsidRDefault="00A1450B" w:rsidP="00061FF0">
            <w:pPr>
              <w:pStyle w:val="a9"/>
              <w:adjustRightInd w:val="0"/>
              <w:spacing w:after="50" w:line="560" w:lineRule="exact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bookmarkStart w:id="4" w:name="_Toc32400"/>
            <w:r>
              <w:rPr>
                <w:rFonts w:ascii="Times New Roman"/>
                <w:bCs/>
                <w:szCs w:val="21"/>
              </w:rPr>
              <w:t>5</w:t>
            </w:r>
            <w:bookmarkEnd w:id="4"/>
          </w:p>
        </w:tc>
        <w:tc>
          <w:tcPr>
            <w:tcW w:w="1905" w:type="dxa"/>
            <w:vAlign w:val="center"/>
          </w:tcPr>
          <w:p w14:paraId="15D46201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 xml:space="preserve">Facile </w:t>
            </w:r>
            <w:r>
              <w:rPr>
                <w:rFonts w:ascii="Times New Roman" w:hint="eastAsia"/>
                <w:bCs/>
              </w:rPr>
              <w:t>P</w:t>
            </w:r>
            <w:r>
              <w:rPr>
                <w:rFonts w:ascii="Times New Roman"/>
                <w:bCs/>
              </w:rPr>
              <w:t xml:space="preserve">rotein </w:t>
            </w:r>
            <w:r>
              <w:rPr>
                <w:rFonts w:ascii="Times New Roman" w:hint="eastAsia"/>
                <w:bCs/>
              </w:rPr>
              <w:t>A</w:t>
            </w:r>
            <w:r>
              <w:rPr>
                <w:rFonts w:ascii="Times New Roman"/>
                <w:bCs/>
              </w:rPr>
              <w:t xml:space="preserve">ssembly </w:t>
            </w:r>
            <w:r>
              <w:rPr>
                <w:rFonts w:ascii="Times New Roman" w:hint="eastAsia"/>
                <w:bCs/>
              </w:rPr>
              <w:t>A</w:t>
            </w:r>
            <w:r>
              <w:rPr>
                <w:rFonts w:ascii="Times New Roman"/>
                <w:bCs/>
              </w:rPr>
              <w:t xml:space="preserve">ctivating </w:t>
            </w:r>
            <w:r>
              <w:rPr>
                <w:rFonts w:ascii="Times New Roman" w:hint="eastAsia"/>
                <w:bCs/>
              </w:rPr>
              <w:t>T</w:t>
            </w:r>
            <w:r>
              <w:rPr>
                <w:rFonts w:ascii="Times New Roman"/>
                <w:bCs/>
              </w:rPr>
              <w:t xml:space="preserve">hree-photon </w:t>
            </w:r>
            <w:r>
              <w:rPr>
                <w:rFonts w:ascii="Times New Roman" w:hint="eastAsia"/>
                <w:bCs/>
              </w:rPr>
              <w:t>A</w:t>
            </w:r>
            <w:r>
              <w:rPr>
                <w:rFonts w:ascii="Times New Roman"/>
                <w:bCs/>
              </w:rPr>
              <w:t xml:space="preserve">ctivity: A zig-zag </w:t>
            </w:r>
            <w:r>
              <w:rPr>
                <w:rFonts w:ascii="Times New Roman" w:hint="eastAsia"/>
                <w:bCs/>
              </w:rPr>
              <w:t>L</w:t>
            </w:r>
            <w:r>
              <w:rPr>
                <w:rFonts w:ascii="Times New Roman"/>
                <w:bCs/>
              </w:rPr>
              <w:t xml:space="preserve">ift </w:t>
            </w:r>
            <w:r>
              <w:rPr>
                <w:rFonts w:ascii="Times New Roman" w:hint="eastAsia"/>
                <w:bCs/>
              </w:rPr>
              <w:t>M</w:t>
            </w:r>
            <w:r>
              <w:rPr>
                <w:rFonts w:ascii="Times New Roman"/>
                <w:bCs/>
              </w:rPr>
              <w:t xml:space="preserve">odulated by the “odd-even” </w:t>
            </w:r>
            <w:r>
              <w:rPr>
                <w:rFonts w:ascii="Times New Roman" w:hint="eastAsia"/>
                <w:bCs/>
              </w:rPr>
              <w:t>E</w:t>
            </w:r>
            <w:r>
              <w:rPr>
                <w:rFonts w:ascii="Times New Roman"/>
                <w:bCs/>
              </w:rPr>
              <w:t xml:space="preserve">ffect of </w:t>
            </w:r>
            <w:r>
              <w:rPr>
                <w:rFonts w:ascii="Times New Roman" w:hint="eastAsia"/>
                <w:bCs/>
              </w:rPr>
              <w:t>A</w:t>
            </w:r>
            <w:r>
              <w:rPr>
                <w:rFonts w:ascii="Times New Roman"/>
                <w:bCs/>
              </w:rPr>
              <w:t>lkyl</w:t>
            </w:r>
            <w:r>
              <w:rPr>
                <w:rFonts w:ascii="Times New Roman" w:hint="eastAsia"/>
                <w:bCs/>
              </w:rPr>
              <w:t xml:space="preserve"> C</w:t>
            </w:r>
            <w:r>
              <w:rPr>
                <w:rFonts w:ascii="Times New Roman"/>
                <w:bCs/>
              </w:rPr>
              <w:t>hains /Science China Materials/Junjun Wang, Yicai Zhu, Jinsong Li, Aidong Wang, Zhipeng Yu, Sen Wang and Hongping Zhou</w:t>
            </w:r>
          </w:p>
        </w:tc>
        <w:tc>
          <w:tcPr>
            <w:tcW w:w="874" w:type="dxa"/>
            <w:vAlign w:val="center"/>
          </w:tcPr>
          <w:p w14:paraId="0FC08D3E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2023</w:t>
            </w:r>
            <w:r>
              <w:rPr>
                <w:rFonts w:ascii="Times New Roman" w:hint="eastAsia"/>
                <w:bCs/>
              </w:rPr>
              <w:t>年</w:t>
            </w:r>
            <w:r>
              <w:rPr>
                <w:rFonts w:ascii="Times New Roman"/>
                <w:bCs/>
              </w:rPr>
              <w:t>66</w:t>
            </w:r>
            <w:r>
              <w:rPr>
                <w:rFonts w:ascii="Times New Roman" w:hint="eastAsia"/>
                <w:bCs/>
              </w:rPr>
              <w:t>卷</w:t>
            </w:r>
            <w:r>
              <w:rPr>
                <w:rFonts w:ascii="Times New Roman"/>
                <w:bCs/>
              </w:rPr>
              <w:t>2483-2491</w:t>
            </w:r>
            <w:r>
              <w:rPr>
                <w:rFonts w:ascii="Times New Roman" w:hint="eastAsia"/>
                <w:bCs/>
              </w:rPr>
              <w:t>页</w:t>
            </w:r>
          </w:p>
        </w:tc>
        <w:tc>
          <w:tcPr>
            <w:tcW w:w="726" w:type="dxa"/>
            <w:vAlign w:val="center"/>
          </w:tcPr>
          <w:p w14:paraId="68F744EF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2023-03-09</w:t>
            </w:r>
          </w:p>
        </w:tc>
        <w:tc>
          <w:tcPr>
            <w:tcW w:w="1095" w:type="dxa"/>
            <w:vAlign w:val="center"/>
          </w:tcPr>
          <w:p w14:paraId="711C749D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Sen Wang, Hongping Zhou</w:t>
            </w:r>
          </w:p>
        </w:tc>
        <w:tc>
          <w:tcPr>
            <w:tcW w:w="889" w:type="dxa"/>
            <w:vAlign w:val="center"/>
          </w:tcPr>
          <w:p w14:paraId="6BB2AB89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Junjun Wang, Xiaojiao Zhu</w:t>
            </w:r>
          </w:p>
        </w:tc>
        <w:tc>
          <w:tcPr>
            <w:tcW w:w="1078" w:type="dxa"/>
            <w:vAlign w:val="center"/>
          </w:tcPr>
          <w:p w14:paraId="406B9464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王君君</w:t>
            </w:r>
            <w:r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 w:hint="eastAsia"/>
                <w:bCs/>
              </w:rPr>
              <w:t>朱亿彩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7A289046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李劲松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0133C65E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王爱东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3A4DBE38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余志鹏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53873B6B" w14:textId="77777777" w:rsidR="00A1450B" w:rsidRDefault="00A1450B" w:rsidP="00061FF0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汪森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05FF4B5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left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</w:rPr>
              <w:t>周虹屏</w:t>
            </w:r>
          </w:p>
        </w:tc>
        <w:tc>
          <w:tcPr>
            <w:tcW w:w="623" w:type="dxa"/>
          </w:tcPr>
          <w:p w14:paraId="2DFA2FC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7207EA10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34AB62EC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2DFEBBFF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</w:p>
          <w:p w14:paraId="207EEB5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 w14:paraId="40167FC8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3A30F113" w14:textId="77777777" w:rsidR="00A1450B" w:rsidRDefault="00A1450B" w:rsidP="00061FF0">
            <w:pPr>
              <w:pStyle w:val="a9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否</w:t>
            </w:r>
          </w:p>
        </w:tc>
      </w:tr>
    </w:tbl>
    <w:p w14:paraId="38552BC9" w14:textId="1AD0C8D9" w:rsidR="00525FD0" w:rsidRDefault="00AE4EEC">
      <w:p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五、主要完成人：</w:t>
      </w:r>
      <w:r w:rsid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周虹屏，朱小姣，王君君，卜应翠，余志鹏</w:t>
      </w:r>
    </w:p>
    <w:p w14:paraId="43209121" w14:textId="77777777" w:rsidR="00525FD0" w:rsidRDefault="00525FD0">
      <w:pPr>
        <w:pStyle w:val="a0"/>
        <w:rPr>
          <w:rFonts w:ascii="仿宋" w:eastAsia="仿宋" w:hAnsi="仿宋" w:cs="仿宋" w:hint="eastAsia"/>
          <w:sz w:val="32"/>
          <w:szCs w:val="32"/>
        </w:rPr>
      </w:pPr>
    </w:p>
    <w:p w14:paraId="7C1BD3C9" w14:textId="3B7ED21A" w:rsidR="00525FD0" w:rsidRDefault="00AE4EEC">
      <w:p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六、主要完成单位：</w:t>
      </w:r>
      <w:r w:rsidR="00A1450B">
        <w:rPr>
          <w:rFonts w:ascii="仿宋" w:eastAsia="仿宋" w:hAnsi="仿宋" w:cs="仿宋" w:hint="eastAsia"/>
          <w:b/>
          <w:color w:val="000000"/>
          <w:sz w:val="32"/>
          <w:szCs w:val="32"/>
        </w:rPr>
        <w:t>安徽大学</w:t>
      </w:r>
    </w:p>
    <w:p w14:paraId="72E688ED" w14:textId="77777777" w:rsidR="00525FD0" w:rsidRDefault="00525FD0">
      <w:pPr>
        <w:pStyle w:val="a0"/>
        <w:rPr>
          <w:rFonts w:ascii="仿宋" w:eastAsia="仿宋" w:hAnsi="仿宋" w:cs="仿宋" w:hint="eastAsia"/>
          <w:sz w:val="32"/>
          <w:szCs w:val="32"/>
        </w:rPr>
      </w:pPr>
    </w:p>
    <w:p w14:paraId="3296113D" w14:textId="5861DCF8" w:rsidR="00525FD0" w:rsidRDefault="00AE4EEC">
      <w:pPr>
        <w:pStyle w:val="a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七、论证专家：</w:t>
      </w:r>
    </w:p>
    <w:tbl>
      <w:tblPr>
        <w:tblW w:w="7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551"/>
        <w:gridCol w:w="1003"/>
        <w:gridCol w:w="3129"/>
      </w:tblGrid>
      <w:tr w:rsidR="00A1450B" w14:paraId="4D33417D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33319CED" w14:textId="77777777" w:rsidR="00A1450B" w:rsidRDefault="00A1450B" w:rsidP="00061FF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115DF9C1" w14:textId="77777777" w:rsidR="00A1450B" w:rsidRDefault="00A1450B" w:rsidP="00061FF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003" w:type="dxa"/>
            <w:vAlign w:val="center"/>
          </w:tcPr>
          <w:p w14:paraId="5D4329CB" w14:textId="77777777" w:rsidR="00A1450B" w:rsidRDefault="00A1450B" w:rsidP="00061FF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129" w:type="dxa"/>
            <w:vAlign w:val="center"/>
          </w:tcPr>
          <w:p w14:paraId="74A731ED" w14:textId="77777777" w:rsidR="00A1450B" w:rsidRDefault="00A1450B" w:rsidP="00061FF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专业领域</w:t>
            </w:r>
          </w:p>
        </w:tc>
      </w:tr>
      <w:tr w:rsidR="00A1450B" w14:paraId="289FA008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426443EF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吴长征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8EF467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中国科学技术大学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42DF52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7E26B4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化学、无机化学</w:t>
            </w:r>
          </w:p>
        </w:tc>
      </w:tr>
      <w:tr w:rsidR="00A1450B" w14:paraId="3E415E20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0ECB282E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崔鹏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D114F3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A1D7682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5836F6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化学工程、材料与化工</w:t>
            </w:r>
          </w:p>
        </w:tc>
      </w:tr>
      <w:tr w:rsidR="00A1450B" w14:paraId="00F9DCF1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6CC4B489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花日茂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4ECD7A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安徽农业大学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72D95C3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AD74EE2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分析化学、农药科学</w:t>
            </w:r>
          </w:p>
        </w:tc>
      </w:tr>
      <w:tr w:rsidR="00A1450B" w14:paraId="3BDF6A86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0C9DBCCE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张忠平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60E79B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2A1F034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88B046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析化学、高分子化学与物理</w:t>
            </w:r>
          </w:p>
        </w:tc>
      </w:tr>
      <w:tr w:rsidR="00A1450B" w14:paraId="45EF27AE" w14:textId="77777777" w:rsidTr="000E3A3D">
        <w:trPr>
          <w:trHeight w:val="68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14:paraId="050666DB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肖亚中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4A0AB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3B4BA68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5FEC0A" w14:textId="77777777" w:rsidR="00A1450B" w:rsidRDefault="00A1450B" w:rsidP="00061FF0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微生物生物化学与分子生物学</w:t>
            </w:r>
          </w:p>
        </w:tc>
      </w:tr>
    </w:tbl>
    <w:p w14:paraId="3D66FE2B" w14:textId="77777777" w:rsidR="00A1450B" w:rsidRPr="00A1450B" w:rsidRDefault="00A1450B" w:rsidP="00A1450B"/>
    <w:sectPr w:rsidR="00A1450B" w:rsidRPr="00A1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C85A" w14:textId="77777777" w:rsidR="00005912" w:rsidRDefault="00005912" w:rsidP="00A1450B">
      <w:r>
        <w:separator/>
      </w:r>
    </w:p>
  </w:endnote>
  <w:endnote w:type="continuationSeparator" w:id="0">
    <w:p w14:paraId="4792CC3B" w14:textId="77777777" w:rsidR="00005912" w:rsidRDefault="00005912" w:rsidP="00A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7176" w14:textId="77777777" w:rsidR="00005912" w:rsidRDefault="00005912" w:rsidP="00A1450B">
      <w:r>
        <w:separator/>
      </w:r>
    </w:p>
  </w:footnote>
  <w:footnote w:type="continuationSeparator" w:id="0">
    <w:p w14:paraId="15B318B1" w14:textId="77777777" w:rsidR="00005912" w:rsidRDefault="00005912" w:rsidP="00A1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D0"/>
    <w:rsid w:val="00005912"/>
    <w:rsid w:val="000A1F06"/>
    <w:rsid w:val="000E3A3D"/>
    <w:rsid w:val="00525FD0"/>
    <w:rsid w:val="007C1A51"/>
    <w:rsid w:val="009A65FF"/>
    <w:rsid w:val="00A1450B"/>
    <w:rsid w:val="00AE4EEC"/>
    <w:rsid w:val="00B3093F"/>
    <w:rsid w:val="00BC29DF"/>
    <w:rsid w:val="00E160A4"/>
    <w:rsid w:val="25B42EBB"/>
    <w:rsid w:val="26657CF0"/>
    <w:rsid w:val="2E813A2E"/>
    <w:rsid w:val="32EF0458"/>
    <w:rsid w:val="6FD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50EB8"/>
  <w15:docId w15:val="{8A8D5248-3CD3-4771-B0C7-E70949DF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tabs>
        <w:tab w:val="center" w:pos="4365"/>
      </w:tabs>
      <w:spacing w:beforeLines="100" w:afterLines="50"/>
      <w:jc w:val="center"/>
      <w:outlineLvl w:val="0"/>
    </w:pPr>
    <w:rPr>
      <w:rFonts w:ascii="Cambria" w:eastAsia="宋体" w:hAnsi="宋体" w:cs="Times New Roman"/>
      <w:b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link w:val="a4"/>
    <w:uiPriority w:val="99"/>
    <w:qFormat/>
    <w:pPr>
      <w:widowControl w:val="0"/>
      <w:jc w:val="center"/>
    </w:pPr>
    <w:rPr>
      <w:rFonts w:ascii="宋体" w:eastAsia="宋体" w:hAnsi="宋体" w:cs="Times New Roman"/>
      <w:b/>
      <w:kern w:val="2"/>
      <w:sz w:val="44"/>
      <w:szCs w:val="44"/>
    </w:rPr>
  </w:style>
  <w:style w:type="paragraph" w:styleId="a5">
    <w:name w:val="header"/>
    <w:basedOn w:val="a"/>
    <w:link w:val="a6"/>
    <w:rsid w:val="00A14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1450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14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1450B"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8">
    <w:name w:val="_Style 8"/>
    <w:next w:val="a"/>
    <w:qFormat/>
    <w:rsid w:val="00A1450B"/>
    <w:pPr>
      <w:widowControl w:val="0"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qFormat/>
    <w:rsid w:val="00A1450B"/>
    <w:rPr>
      <w:rFonts w:ascii="宋体" w:eastAsia="宋体" w:hAnsi="宋体" w:cs="Times New Roman"/>
      <w:b/>
      <w:kern w:val="2"/>
      <w:sz w:val="44"/>
      <w:szCs w:val="44"/>
    </w:rPr>
  </w:style>
  <w:style w:type="paragraph" w:styleId="a9">
    <w:name w:val="Plain Text"/>
    <w:link w:val="aa"/>
    <w:qFormat/>
    <w:rsid w:val="00A1450B"/>
    <w:pPr>
      <w:widowControl w:val="0"/>
      <w:spacing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1"/>
    </w:rPr>
  </w:style>
  <w:style w:type="character" w:customStyle="1" w:styleId="aa">
    <w:name w:val="纯文本 字符"/>
    <w:basedOn w:val="a1"/>
    <w:link w:val="a9"/>
    <w:qFormat/>
    <w:rsid w:val="00A1450B"/>
    <w:rPr>
      <w:rFonts w:ascii="仿宋_GB2312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Zhipeng Yu</cp:lastModifiedBy>
  <cp:revision>3</cp:revision>
  <dcterms:created xsi:type="dcterms:W3CDTF">2025-06-16T15:01:00Z</dcterms:created>
  <dcterms:modified xsi:type="dcterms:W3CDTF">2025-06-16T15:01:00Z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eyJoZGlkIjoiMjAwZTExZGViZGU2NmEwOGFhNWU5ZWU2YmVhY2FlOGUiLCJ1c2VySWQiOiIzMzQyMzc5MTMifQ==</vt:lpwstr>
  </property>
  <property fmtid="{D5CDD505-2E9C-101B-9397-08002B2CF9AE}" pid="4" name="ICV">
    <vt:lpwstr>3D8BFADA4E06498BA5AD55A653B0D96F_12</vt:lpwstr>
  </property>
</Properties>
</file>