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BCCACD">
      <w:pPr>
        <w:ind w:firstLine="562" w:firstLineChars="200"/>
        <w:jc w:val="left"/>
        <w:rPr>
          <w:rFonts w:ascii="Times New Roman" w:hAnsi="Times New Roman" w:eastAsia="宋体" w:cs="Times New Roman"/>
          <w:sz w:val="28"/>
          <w:szCs w:val="28"/>
        </w:rPr>
      </w:pPr>
      <w:r>
        <w:rPr>
          <w:rFonts w:ascii="Times New Roman" w:hAnsi="Times New Roman" w:eastAsia="宋体" w:cs="Times New Roman"/>
          <w:b/>
          <w:sz w:val="28"/>
          <w:szCs w:val="28"/>
        </w:rPr>
        <w:t>项目名称：</w:t>
      </w:r>
      <w:bookmarkStart w:id="4" w:name="_GoBack"/>
      <w:r>
        <w:rPr>
          <w:rFonts w:ascii="Times New Roman" w:hAnsi="Times New Roman" w:eastAsia="宋体" w:cs="Times New Roman"/>
          <w:sz w:val="28"/>
          <w:szCs w:val="28"/>
        </w:rPr>
        <w:t>固废资源化轻质高强保温装饰一体化墙板关键技术及产业化</w:t>
      </w:r>
      <w:bookmarkEnd w:id="4"/>
    </w:p>
    <w:p w14:paraId="0A2B9219">
      <w:pPr>
        <w:spacing w:line="360" w:lineRule="auto"/>
        <w:ind w:left="2166" w:leftChars="228" w:hanging="1687" w:hangingChars="600"/>
        <w:rPr>
          <w:rFonts w:ascii="Times New Roman" w:hAnsi="Times New Roman" w:eastAsia="宋体" w:cs="Times New Roman"/>
          <w:sz w:val="28"/>
          <w:szCs w:val="28"/>
        </w:rPr>
      </w:pPr>
      <w:r>
        <w:rPr>
          <w:rFonts w:ascii="Times New Roman" w:hAnsi="Times New Roman" w:eastAsia="宋体" w:cs="Times New Roman"/>
          <w:b/>
          <w:sz w:val="28"/>
          <w:szCs w:val="28"/>
        </w:rPr>
        <w:t>主要完成人：</w:t>
      </w:r>
      <w:r>
        <w:rPr>
          <w:rFonts w:ascii="宋体" w:hAnsi="宋体"/>
          <w:sz w:val="28"/>
          <w:szCs w:val="28"/>
        </w:rPr>
        <w:t>杜春良、石萍萍、方寅生、万贤虎、夏春苗、</w:t>
      </w:r>
      <w:r>
        <w:rPr>
          <w:rFonts w:hint="eastAsia" w:ascii="宋体" w:hAnsi="宋体"/>
          <w:sz w:val="28"/>
          <w:szCs w:val="28"/>
        </w:rPr>
        <w:t>吴盼</w:t>
      </w:r>
      <w:r>
        <w:rPr>
          <w:rFonts w:ascii="宋体" w:hAnsi="宋体"/>
          <w:sz w:val="28"/>
          <w:szCs w:val="28"/>
        </w:rPr>
        <w:t>、张翠歌、秦兆权、张荣莉、许茂东</w:t>
      </w:r>
    </w:p>
    <w:p w14:paraId="132DFD7F">
      <w:pPr>
        <w:spacing w:line="360" w:lineRule="auto"/>
        <w:ind w:left="2166" w:leftChars="228" w:hanging="1687" w:hangingChars="600"/>
        <w:rPr>
          <w:rFonts w:ascii="Times New Roman" w:hAnsi="Times New Roman" w:cs="Times New Roman"/>
          <w:sz w:val="28"/>
          <w:szCs w:val="28"/>
        </w:rPr>
      </w:pPr>
      <w:r>
        <w:rPr>
          <w:rFonts w:ascii="Times New Roman" w:hAnsi="Times New Roman" w:eastAsia="宋体" w:cs="Times New Roman"/>
          <w:b/>
          <w:sz w:val="28"/>
          <w:szCs w:val="28"/>
        </w:rPr>
        <w:t>主要完成单位：</w:t>
      </w:r>
      <w:r>
        <w:rPr>
          <w:rFonts w:hint="eastAsia" w:ascii="宋体" w:hAnsi="宋体"/>
          <w:sz w:val="28"/>
          <w:szCs w:val="28"/>
        </w:rPr>
        <w:t>安徽工程大学、</w:t>
      </w:r>
      <w:r>
        <w:rPr>
          <w:rFonts w:ascii="宋体" w:hAnsi="宋体"/>
          <w:sz w:val="28"/>
          <w:szCs w:val="28"/>
        </w:rPr>
        <w:t>安徽汇辽新型装饰材料有限公司、安徽艾米伦特建材科技有限公司</w:t>
      </w:r>
    </w:p>
    <w:p w14:paraId="047DE789">
      <w:pPr>
        <w:adjustRightInd w:val="0"/>
        <w:snapToGrid w:val="0"/>
        <w:spacing w:line="360" w:lineRule="exact"/>
        <w:ind w:firstLine="562" w:firstLineChars="200"/>
        <w:rPr>
          <w:rFonts w:ascii="Times New Roman" w:hAnsi="Times New Roman" w:eastAsia="宋体" w:cs="Times New Roman"/>
          <w:sz w:val="28"/>
          <w:szCs w:val="28"/>
        </w:rPr>
      </w:pPr>
      <w:r>
        <w:rPr>
          <w:rFonts w:ascii="Times New Roman" w:hAnsi="Times New Roman" w:eastAsia="宋体" w:cs="Times New Roman"/>
          <w:b/>
          <w:sz w:val="28"/>
          <w:szCs w:val="28"/>
        </w:rPr>
        <w:t>项目简介：</w:t>
      </w:r>
    </w:p>
    <w:p w14:paraId="6882A551">
      <w:pPr>
        <w:adjustRightInd w:val="0"/>
        <w:snapToGrid w:val="0"/>
        <w:spacing w:line="360" w:lineRule="exact"/>
        <w:ind w:firstLine="560" w:firstLineChars="200"/>
        <w:rPr>
          <w:rFonts w:ascii="Times New Roman" w:hAnsi="Times New Roman" w:eastAsia="宋体" w:cs="Times New Roman"/>
          <w:sz w:val="28"/>
          <w:szCs w:val="28"/>
        </w:rPr>
      </w:pPr>
      <w:bookmarkStart w:id="0" w:name="OLE_LINK53"/>
      <w:r>
        <w:rPr>
          <w:rFonts w:hint="eastAsia" w:ascii="Times New Roman" w:hAnsi="Times New Roman" w:eastAsia="宋体" w:cs="Times New Roman"/>
          <w:sz w:val="28"/>
          <w:szCs w:val="28"/>
        </w:rPr>
        <w:t>随着“双碳”战略的深入推进，装配式建筑作为绿色建造的重要方向，在推动建筑工业化和节能降碳方面发挥着关键作用。</w:t>
      </w:r>
      <w:bookmarkStart w:id="1" w:name="OLE_LINK52"/>
      <w:r>
        <w:rPr>
          <w:rFonts w:ascii="Times New Roman" w:hAnsi="Times New Roman" w:eastAsia="宋体" w:cs="Times New Roman"/>
          <w:sz w:val="28"/>
          <w:szCs w:val="28"/>
        </w:rPr>
        <w:t>建筑围护结构</w:t>
      </w:r>
      <w:r>
        <w:rPr>
          <w:rFonts w:hint="eastAsia" w:ascii="Times New Roman" w:hAnsi="Times New Roman" w:eastAsia="宋体" w:cs="Times New Roman"/>
          <w:sz w:val="28"/>
          <w:szCs w:val="28"/>
        </w:rPr>
        <w:t>随之面临</w:t>
      </w:r>
      <w:r>
        <w:rPr>
          <w:rFonts w:ascii="Times New Roman" w:hAnsi="Times New Roman" w:eastAsia="宋体" w:cs="Times New Roman"/>
          <w:sz w:val="28"/>
          <w:szCs w:val="28"/>
        </w:rPr>
        <w:t>多重性能需求：</w:t>
      </w:r>
      <w:bookmarkEnd w:id="0"/>
      <w:r>
        <w:rPr>
          <w:rFonts w:ascii="Times New Roman" w:hAnsi="Times New Roman" w:eastAsia="宋体" w:cs="Times New Roman"/>
          <w:sz w:val="28"/>
          <w:szCs w:val="28"/>
        </w:rPr>
        <w:t>高强度、轻质化</w:t>
      </w:r>
      <w:r>
        <w:rPr>
          <w:rFonts w:hint="eastAsia" w:ascii="Times New Roman" w:hAnsi="Times New Roman" w:eastAsia="宋体" w:cs="Times New Roman"/>
          <w:sz w:val="28"/>
          <w:szCs w:val="28"/>
        </w:rPr>
        <w:t>、</w:t>
      </w:r>
      <w:r>
        <w:rPr>
          <w:rFonts w:ascii="Times New Roman" w:hAnsi="Times New Roman" w:eastAsia="宋体" w:cs="Times New Roman"/>
          <w:sz w:val="28"/>
          <w:szCs w:val="28"/>
        </w:rPr>
        <w:t>保温隔热，</w:t>
      </w:r>
      <w:r>
        <w:rPr>
          <w:rFonts w:hint="eastAsia" w:ascii="Times New Roman" w:hAnsi="Times New Roman" w:eastAsia="宋体" w:cs="Times New Roman"/>
          <w:sz w:val="28"/>
          <w:szCs w:val="28"/>
        </w:rPr>
        <w:t>适应</w:t>
      </w:r>
      <w:r>
        <w:rPr>
          <w:rFonts w:ascii="Times New Roman" w:hAnsi="Times New Roman" w:eastAsia="宋体" w:cs="Times New Roman"/>
          <w:sz w:val="28"/>
          <w:szCs w:val="28"/>
        </w:rPr>
        <w:t>异形构件</w:t>
      </w:r>
      <w:r>
        <w:rPr>
          <w:rFonts w:hint="eastAsia" w:ascii="Times New Roman" w:hAnsi="Times New Roman" w:eastAsia="宋体" w:cs="Times New Roman"/>
          <w:sz w:val="28"/>
          <w:szCs w:val="28"/>
        </w:rPr>
        <w:t>，装饰耐久及</w:t>
      </w:r>
      <w:r>
        <w:rPr>
          <w:rFonts w:ascii="Times New Roman" w:hAnsi="Times New Roman" w:eastAsia="宋体" w:cs="Times New Roman"/>
          <w:sz w:val="28"/>
          <w:szCs w:val="28"/>
        </w:rPr>
        <w:t>效果多样化。</w:t>
      </w:r>
      <w:bookmarkEnd w:id="1"/>
      <w:r>
        <w:rPr>
          <w:rFonts w:hint="eastAsia" w:ascii="Times New Roman" w:hAnsi="Times New Roman" w:eastAsia="宋体" w:cs="Times New Roman"/>
          <w:sz w:val="28"/>
          <w:szCs w:val="28"/>
        </w:rPr>
        <w:t>兼具优异力学性能和造型可塑性的</w:t>
      </w:r>
      <w:r>
        <w:rPr>
          <w:rFonts w:ascii="Times New Roman" w:hAnsi="Times New Roman" w:eastAsia="宋体" w:cs="Times New Roman"/>
          <w:sz w:val="28"/>
          <w:szCs w:val="28"/>
        </w:rPr>
        <w:t>超高强混凝土（UHPC）</w:t>
      </w:r>
      <w:r>
        <w:rPr>
          <w:rFonts w:hint="eastAsia" w:ascii="Times New Roman" w:hAnsi="Times New Roman" w:eastAsia="宋体" w:cs="Times New Roman"/>
          <w:sz w:val="28"/>
          <w:szCs w:val="28"/>
        </w:rPr>
        <w:t>由此成为</w:t>
      </w:r>
      <w:r>
        <w:rPr>
          <w:rFonts w:ascii="Times New Roman" w:hAnsi="Times New Roman" w:eastAsia="宋体" w:cs="Times New Roman"/>
          <w:sz w:val="28"/>
          <w:szCs w:val="28"/>
        </w:rPr>
        <w:t>突破</w:t>
      </w:r>
      <w:r>
        <w:rPr>
          <w:rFonts w:hint="eastAsia" w:ascii="Times New Roman" w:hAnsi="Times New Roman" w:eastAsia="宋体" w:cs="Times New Roman"/>
          <w:sz w:val="28"/>
          <w:szCs w:val="28"/>
        </w:rPr>
        <w:t>装配式建筑领域</w:t>
      </w:r>
      <w:r>
        <w:rPr>
          <w:rFonts w:ascii="Times New Roman" w:hAnsi="Times New Roman" w:eastAsia="宋体" w:cs="Times New Roman"/>
          <w:sz w:val="28"/>
          <w:szCs w:val="28"/>
        </w:rPr>
        <w:t>新材料与新工艺赋能升级</w:t>
      </w:r>
      <w:r>
        <w:rPr>
          <w:rFonts w:hint="eastAsia" w:ascii="Times New Roman" w:hAnsi="Times New Roman" w:eastAsia="宋体" w:cs="Times New Roman"/>
          <w:sz w:val="28"/>
          <w:szCs w:val="28"/>
        </w:rPr>
        <w:t>的理想选择</w:t>
      </w:r>
      <w:r>
        <w:rPr>
          <w:rFonts w:ascii="Times New Roman" w:hAnsi="Times New Roman" w:eastAsia="宋体" w:cs="Times New Roman"/>
          <w:sz w:val="28"/>
          <w:szCs w:val="28"/>
        </w:rPr>
        <w:t>。</w:t>
      </w:r>
      <w:r>
        <w:rPr>
          <w:rFonts w:hint="eastAsia" w:ascii="Times New Roman" w:hAnsi="Times New Roman" w:eastAsia="宋体" w:cs="Times New Roman"/>
          <w:sz w:val="28"/>
          <w:szCs w:val="28"/>
        </w:rPr>
        <w:t>然而，其</w:t>
      </w:r>
      <w:r>
        <w:rPr>
          <w:rFonts w:ascii="Times New Roman" w:hAnsi="Times New Roman" w:eastAsia="宋体" w:cs="Times New Roman"/>
          <w:sz w:val="28"/>
          <w:szCs w:val="28"/>
        </w:rPr>
        <w:t>实际工程化应用</w:t>
      </w:r>
      <w:r>
        <w:rPr>
          <w:rFonts w:hint="eastAsia" w:ascii="Times New Roman" w:hAnsi="Times New Roman" w:eastAsia="宋体" w:cs="Times New Roman"/>
          <w:sz w:val="28"/>
          <w:szCs w:val="28"/>
        </w:rPr>
        <w:t>推广</w:t>
      </w:r>
      <w:r>
        <w:rPr>
          <w:rFonts w:ascii="Times New Roman" w:hAnsi="Times New Roman" w:eastAsia="宋体" w:cs="Times New Roman"/>
          <w:sz w:val="28"/>
          <w:szCs w:val="28"/>
        </w:rPr>
        <w:t>仍存在若干</w:t>
      </w:r>
      <w:r>
        <w:rPr>
          <w:rFonts w:hint="eastAsia" w:ascii="Times New Roman" w:hAnsi="Times New Roman" w:eastAsia="宋体" w:cs="Times New Roman"/>
          <w:sz w:val="28"/>
          <w:szCs w:val="28"/>
        </w:rPr>
        <w:t>瓶颈</w:t>
      </w:r>
      <w:r>
        <w:rPr>
          <w:rFonts w:ascii="Times New Roman" w:hAnsi="Times New Roman" w:eastAsia="宋体" w:cs="Times New Roman"/>
          <w:sz w:val="28"/>
          <w:szCs w:val="28"/>
        </w:rPr>
        <w:t>：（1）传统配制过程高度依赖水泥，碳排放压力大，</w:t>
      </w:r>
      <w:r>
        <w:rPr>
          <w:rFonts w:hint="eastAsia" w:ascii="Times New Roman" w:hAnsi="Times New Roman" w:eastAsia="宋体" w:cs="Times New Roman"/>
          <w:sz w:val="28"/>
          <w:szCs w:val="28"/>
        </w:rPr>
        <w:t>而引入</w:t>
      </w:r>
      <w:r>
        <w:rPr>
          <w:rFonts w:ascii="Times New Roman" w:hAnsi="Times New Roman" w:eastAsia="宋体" w:cs="Times New Roman"/>
          <w:sz w:val="28"/>
          <w:szCs w:val="28"/>
        </w:rPr>
        <w:t>高掺量替代材料</w:t>
      </w:r>
      <w:r>
        <w:rPr>
          <w:rFonts w:hint="eastAsia" w:ascii="Times New Roman" w:hAnsi="Times New Roman" w:eastAsia="宋体" w:cs="Times New Roman"/>
          <w:sz w:val="28"/>
          <w:szCs w:val="28"/>
        </w:rPr>
        <w:t>会</w:t>
      </w:r>
      <w:r>
        <w:rPr>
          <w:rFonts w:ascii="Times New Roman" w:hAnsi="Times New Roman" w:eastAsia="宋体" w:cs="Times New Roman"/>
          <w:sz w:val="28"/>
          <w:szCs w:val="28"/>
        </w:rPr>
        <w:t>导致力学与耐久性能难以</w:t>
      </w:r>
      <w:r>
        <w:rPr>
          <w:rFonts w:hint="eastAsia" w:ascii="Times New Roman" w:hAnsi="Times New Roman" w:eastAsia="宋体" w:cs="Times New Roman"/>
          <w:sz w:val="28"/>
          <w:szCs w:val="28"/>
        </w:rPr>
        <w:t>协同</w:t>
      </w:r>
      <w:r>
        <w:rPr>
          <w:rFonts w:ascii="Times New Roman" w:hAnsi="Times New Roman" w:eastAsia="宋体" w:cs="Times New Roman"/>
          <w:sz w:val="28"/>
          <w:szCs w:val="28"/>
        </w:rPr>
        <w:t>；（2）现</w:t>
      </w:r>
      <w:r>
        <w:rPr>
          <w:rFonts w:hint="eastAsia" w:ascii="Times New Roman" w:hAnsi="Times New Roman" w:eastAsia="宋体" w:cs="Times New Roman"/>
          <w:sz w:val="28"/>
          <w:szCs w:val="28"/>
        </w:rPr>
        <w:t>有</w:t>
      </w:r>
      <w:r>
        <w:rPr>
          <w:rFonts w:ascii="Times New Roman" w:hAnsi="Times New Roman" w:eastAsia="宋体" w:cs="Times New Roman"/>
          <w:sz w:val="28"/>
          <w:szCs w:val="28"/>
        </w:rPr>
        <w:t>构件多侧重结构性能或局部功能，难以实现保温</w:t>
      </w:r>
      <w:r>
        <w:rPr>
          <w:rFonts w:hint="eastAsia" w:ascii="Times New Roman" w:hAnsi="Times New Roman" w:eastAsia="宋体" w:cs="Times New Roman"/>
          <w:sz w:val="28"/>
          <w:szCs w:val="28"/>
        </w:rPr>
        <w:t>节能</w:t>
      </w:r>
      <w:r>
        <w:rPr>
          <w:rFonts w:ascii="Times New Roman" w:hAnsi="Times New Roman" w:eastAsia="宋体" w:cs="Times New Roman"/>
          <w:sz w:val="28"/>
          <w:szCs w:val="28"/>
        </w:rPr>
        <w:t>、</w:t>
      </w:r>
      <w:r>
        <w:rPr>
          <w:rFonts w:hint="eastAsia" w:ascii="Times New Roman" w:hAnsi="Times New Roman" w:eastAsia="宋体" w:cs="Times New Roman"/>
          <w:sz w:val="28"/>
          <w:szCs w:val="28"/>
        </w:rPr>
        <w:t>复杂造型</w:t>
      </w:r>
      <w:r>
        <w:rPr>
          <w:rFonts w:ascii="Times New Roman" w:hAnsi="Times New Roman" w:eastAsia="宋体" w:cs="Times New Roman"/>
          <w:sz w:val="28"/>
          <w:szCs w:val="28"/>
        </w:rPr>
        <w:t>与</w:t>
      </w:r>
      <w:r>
        <w:rPr>
          <w:rFonts w:hint="eastAsia" w:ascii="Times New Roman" w:hAnsi="Times New Roman" w:eastAsia="宋体" w:cs="Times New Roman"/>
          <w:sz w:val="28"/>
          <w:szCs w:val="28"/>
        </w:rPr>
        <w:t>结构</w:t>
      </w:r>
      <w:r>
        <w:rPr>
          <w:rFonts w:ascii="Times New Roman" w:hAnsi="Times New Roman" w:eastAsia="宋体" w:cs="Times New Roman"/>
          <w:sz w:val="28"/>
          <w:szCs w:val="28"/>
        </w:rPr>
        <w:t>承载的</w:t>
      </w:r>
      <w:r>
        <w:rPr>
          <w:rFonts w:hint="eastAsia" w:ascii="Times New Roman" w:hAnsi="Times New Roman" w:eastAsia="宋体" w:cs="Times New Roman"/>
          <w:sz w:val="28"/>
          <w:szCs w:val="28"/>
        </w:rPr>
        <w:t>适配</w:t>
      </w:r>
      <w:r>
        <w:rPr>
          <w:rFonts w:ascii="Times New Roman" w:hAnsi="Times New Roman" w:eastAsia="宋体" w:cs="Times New Roman"/>
          <w:sz w:val="28"/>
          <w:szCs w:val="28"/>
        </w:rPr>
        <w:t>；（3）装饰</w:t>
      </w:r>
      <w:r>
        <w:rPr>
          <w:rFonts w:hint="eastAsia" w:ascii="Times New Roman" w:hAnsi="Times New Roman" w:eastAsia="宋体" w:cs="Times New Roman"/>
          <w:sz w:val="28"/>
          <w:szCs w:val="28"/>
        </w:rPr>
        <w:t>层</w:t>
      </w:r>
      <w:r>
        <w:rPr>
          <w:rFonts w:ascii="Times New Roman" w:hAnsi="Times New Roman" w:eastAsia="宋体" w:cs="Times New Roman"/>
          <w:sz w:val="28"/>
          <w:szCs w:val="28"/>
        </w:rPr>
        <w:t>普遍存在耐候性不足、功能单一</w:t>
      </w:r>
      <w:r>
        <w:rPr>
          <w:rFonts w:hint="eastAsia" w:ascii="Times New Roman" w:hAnsi="Times New Roman" w:eastAsia="宋体" w:cs="Times New Roman"/>
          <w:sz w:val="28"/>
          <w:szCs w:val="28"/>
        </w:rPr>
        <w:t>以</w:t>
      </w:r>
      <w:r>
        <w:rPr>
          <w:rFonts w:ascii="Times New Roman" w:hAnsi="Times New Roman" w:eastAsia="宋体" w:cs="Times New Roman"/>
          <w:sz w:val="28"/>
          <w:szCs w:val="28"/>
        </w:rPr>
        <w:t>及与结构层分离</w:t>
      </w:r>
      <w:r>
        <w:rPr>
          <w:rFonts w:hint="eastAsia" w:ascii="Times New Roman" w:hAnsi="Times New Roman" w:eastAsia="宋体" w:cs="Times New Roman"/>
          <w:sz w:val="28"/>
          <w:szCs w:val="28"/>
        </w:rPr>
        <w:t>的</w:t>
      </w:r>
      <w:r>
        <w:rPr>
          <w:rFonts w:ascii="Times New Roman" w:hAnsi="Times New Roman" w:eastAsia="宋体" w:cs="Times New Roman"/>
          <w:sz w:val="28"/>
          <w:szCs w:val="28"/>
        </w:rPr>
        <w:t>问题</w:t>
      </w:r>
      <w:r>
        <w:rPr>
          <w:rFonts w:hint="eastAsia" w:ascii="Times New Roman" w:hAnsi="Times New Roman" w:eastAsia="宋体" w:cs="Times New Roman"/>
          <w:sz w:val="28"/>
          <w:szCs w:val="28"/>
        </w:rPr>
        <w:t>，限制了现代建筑美学的发挥</w:t>
      </w:r>
      <w:r>
        <w:rPr>
          <w:rFonts w:ascii="Times New Roman" w:hAnsi="Times New Roman" w:eastAsia="宋体" w:cs="Times New Roman"/>
          <w:sz w:val="28"/>
          <w:szCs w:val="28"/>
        </w:rPr>
        <w:t>。</w:t>
      </w:r>
      <w:r>
        <w:rPr>
          <w:rFonts w:hint="eastAsia" w:ascii="Times New Roman" w:hAnsi="Times New Roman" w:eastAsia="宋体" w:cs="Times New Roman"/>
          <w:sz w:val="28"/>
          <w:szCs w:val="28"/>
        </w:rPr>
        <w:t>为此，安徽工程大学联合安徽汇辽新型装饰材料有限公司、</w:t>
      </w:r>
      <w:r>
        <w:rPr>
          <w:rFonts w:ascii="Times New Roman" w:hAnsi="Times New Roman" w:eastAsia="宋体" w:cs="Times New Roman"/>
          <w:sz w:val="28"/>
          <w:szCs w:val="28"/>
        </w:rPr>
        <w:t>安徽艾米伦特建材科技有限公司</w:t>
      </w:r>
      <w:r>
        <w:rPr>
          <w:rFonts w:hint="eastAsia" w:ascii="Times New Roman" w:hAnsi="Times New Roman" w:eastAsia="宋体" w:cs="Times New Roman"/>
          <w:sz w:val="28"/>
          <w:szCs w:val="28"/>
        </w:rPr>
        <w:t>进行科技攻关，</w:t>
      </w:r>
      <w:bookmarkStart w:id="2" w:name="OLE_LINK54"/>
      <w:r>
        <w:rPr>
          <w:rFonts w:hint="eastAsia" w:ascii="Times New Roman" w:hAnsi="Times New Roman" w:eastAsia="宋体" w:cs="Times New Roman"/>
          <w:sz w:val="28"/>
          <w:szCs w:val="28"/>
        </w:rPr>
        <w:t>突破生物质</w:t>
      </w:r>
      <w:r>
        <w:rPr>
          <w:rFonts w:ascii="Times New Roman" w:hAnsi="Times New Roman" w:eastAsia="宋体" w:cs="Times New Roman"/>
          <w:sz w:val="28"/>
          <w:szCs w:val="28"/>
        </w:rPr>
        <w:t>/</w:t>
      </w:r>
      <w:r>
        <w:rPr>
          <w:rFonts w:hint="eastAsia" w:ascii="Times New Roman" w:hAnsi="Times New Roman" w:eastAsia="宋体" w:cs="Times New Roman"/>
          <w:sz w:val="28"/>
          <w:szCs w:val="28"/>
        </w:rPr>
        <w:t>工业固废基绿色胶凝体系制备、</w:t>
      </w:r>
      <w:r>
        <w:rPr>
          <w:rFonts w:ascii="Times New Roman" w:hAnsi="Times New Roman" w:eastAsia="宋体" w:cs="Times New Roman"/>
          <w:sz w:val="28"/>
          <w:szCs w:val="28"/>
        </w:rPr>
        <w:t>保温结构一体化复杂板材制备</w:t>
      </w:r>
      <w:r>
        <w:rPr>
          <w:rFonts w:hint="eastAsia" w:ascii="Times New Roman" w:hAnsi="Times New Roman" w:eastAsia="宋体" w:cs="Times New Roman"/>
          <w:sz w:val="28"/>
          <w:szCs w:val="28"/>
        </w:rPr>
        <w:t>及装饰层多功能集成等技术，</w:t>
      </w:r>
      <w:r>
        <w:rPr>
          <w:rFonts w:ascii="Times New Roman" w:hAnsi="Times New Roman" w:eastAsia="宋体" w:cs="Times New Roman"/>
          <w:sz w:val="28"/>
          <w:szCs w:val="28"/>
        </w:rPr>
        <w:t>成功研发绿色固废基超高强混凝土保温装饰一体化墙板</w:t>
      </w:r>
      <w:r>
        <w:rPr>
          <w:rFonts w:hint="eastAsia" w:ascii="Times New Roman" w:hAnsi="Times New Roman" w:eastAsia="宋体" w:cs="Times New Roman"/>
          <w:sz w:val="28"/>
          <w:szCs w:val="28"/>
        </w:rPr>
        <w:t>产品。具体</w:t>
      </w:r>
      <w:r>
        <w:rPr>
          <w:rFonts w:ascii="Times New Roman" w:hAnsi="Times New Roman" w:eastAsia="宋体" w:cs="Times New Roman"/>
          <w:sz w:val="28"/>
          <w:szCs w:val="28"/>
        </w:rPr>
        <w:t>创新成果</w:t>
      </w:r>
      <w:r>
        <w:rPr>
          <w:rFonts w:hint="eastAsia" w:ascii="Times New Roman" w:hAnsi="Times New Roman" w:eastAsia="宋体" w:cs="Times New Roman"/>
          <w:sz w:val="28"/>
          <w:szCs w:val="28"/>
        </w:rPr>
        <w:t>如下</w:t>
      </w:r>
      <w:r>
        <w:rPr>
          <w:rFonts w:ascii="Times New Roman" w:hAnsi="Times New Roman" w:eastAsia="宋体" w:cs="Times New Roman"/>
          <w:sz w:val="28"/>
          <w:szCs w:val="28"/>
        </w:rPr>
        <w:t>：</w:t>
      </w:r>
    </w:p>
    <w:bookmarkEnd w:id="2"/>
    <w:p w14:paraId="07BF3CCB">
      <w:pPr>
        <w:adjustRightInd w:val="0"/>
        <w:snapToGrid w:val="0"/>
        <w:spacing w:line="360" w:lineRule="exact"/>
        <w:ind w:firstLine="562" w:firstLineChars="200"/>
        <w:rPr>
          <w:rFonts w:ascii="Times New Roman" w:hAnsi="Times New Roman" w:eastAsia="宋体" w:cs="Times New Roman"/>
          <w:b/>
          <w:bCs/>
          <w:sz w:val="28"/>
          <w:szCs w:val="28"/>
        </w:rPr>
      </w:pPr>
      <w:r>
        <w:rPr>
          <w:rFonts w:ascii="Times New Roman" w:hAnsi="Times New Roman" w:eastAsia="宋体" w:cs="Times New Roman"/>
          <w:b/>
          <w:bCs/>
          <w:sz w:val="28"/>
          <w:szCs w:val="28"/>
        </w:rPr>
        <w:t xml:space="preserve">1. </w:t>
      </w:r>
      <w:r>
        <w:rPr>
          <w:rFonts w:hint="eastAsia" w:ascii="Times New Roman" w:hAnsi="Times New Roman" w:eastAsia="宋体" w:cs="Times New Roman"/>
          <w:b/>
          <w:bCs/>
          <w:sz w:val="28"/>
          <w:szCs w:val="28"/>
        </w:rPr>
        <w:t>生物质</w:t>
      </w:r>
      <w:r>
        <w:rPr>
          <w:rFonts w:ascii="Times New Roman" w:hAnsi="Times New Roman" w:eastAsia="宋体" w:cs="Times New Roman"/>
          <w:b/>
          <w:bCs/>
          <w:sz w:val="28"/>
          <w:szCs w:val="28"/>
        </w:rPr>
        <w:t>/</w:t>
      </w:r>
      <w:r>
        <w:rPr>
          <w:rFonts w:hint="eastAsia" w:ascii="Times New Roman" w:hAnsi="Times New Roman" w:eastAsia="宋体" w:cs="Times New Roman"/>
          <w:b/>
          <w:bCs/>
          <w:sz w:val="28"/>
          <w:szCs w:val="28"/>
        </w:rPr>
        <w:t>工业固废基绿色胶凝体系协同</w:t>
      </w:r>
      <w:r>
        <w:rPr>
          <w:rFonts w:ascii="Times New Roman" w:hAnsi="Times New Roman" w:eastAsia="宋体" w:cs="Times New Roman"/>
          <w:b/>
          <w:bCs/>
          <w:sz w:val="28"/>
          <w:szCs w:val="28"/>
        </w:rPr>
        <w:t>UHPC</w:t>
      </w:r>
      <w:r>
        <w:rPr>
          <w:rFonts w:hint="eastAsia" w:ascii="Times New Roman" w:hAnsi="Times New Roman" w:eastAsia="宋体" w:cs="Times New Roman"/>
          <w:b/>
          <w:bCs/>
          <w:sz w:val="28"/>
          <w:szCs w:val="28"/>
        </w:rPr>
        <w:t>制备技术</w:t>
      </w:r>
    </w:p>
    <w:p w14:paraId="770CF262">
      <w:pPr>
        <w:adjustRightInd w:val="0"/>
        <w:snapToGrid w:val="0"/>
        <w:spacing w:line="360" w:lineRule="exact"/>
        <w:ind w:firstLine="560" w:firstLineChars="200"/>
        <w:rPr>
          <w:rFonts w:hint="eastAsia" w:ascii="Times New Roman" w:hAnsi="Times New Roman" w:eastAsia="宋体" w:cs="Times New Roman"/>
          <w:sz w:val="28"/>
          <w:szCs w:val="28"/>
        </w:rPr>
      </w:pPr>
      <w:r>
        <w:rPr>
          <w:rFonts w:hint="eastAsia" w:ascii="Times New Roman" w:hAnsi="Times New Roman" w:eastAsia="宋体" w:cs="Times New Roman"/>
          <w:sz w:val="28"/>
          <w:szCs w:val="28"/>
        </w:rPr>
        <w:t>针对</w:t>
      </w:r>
      <w:r>
        <w:rPr>
          <w:rFonts w:ascii="Times New Roman" w:hAnsi="Times New Roman" w:eastAsia="宋体" w:cs="Times New Roman"/>
          <w:sz w:val="28"/>
          <w:szCs w:val="28"/>
        </w:rPr>
        <w:t>现有</w:t>
      </w:r>
      <w:r>
        <w:rPr>
          <w:rFonts w:hint="eastAsia" w:ascii="Times New Roman" w:hAnsi="Times New Roman" w:eastAsia="宋体" w:cs="Times New Roman"/>
          <w:sz w:val="28"/>
          <w:szCs w:val="28"/>
        </w:rPr>
        <w:t>UHPC</w:t>
      </w:r>
      <w:r>
        <w:rPr>
          <w:rFonts w:ascii="Times New Roman" w:hAnsi="Times New Roman" w:eastAsia="宋体" w:cs="Times New Roman"/>
          <w:sz w:val="28"/>
          <w:szCs w:val="28"/>
        </w:rPr>
        <w:t>制备体系高度依赖高标号水泥与高纯骨料，原料成本高昂、碳排放偏高，难以兼顾绿色性与经济性。</w:t>
      </w:r>
      <w:r>
        <w:rPr>
          <w:rFonts w:hint="eastAsia" w:ascii="Times New Roman" w:hAnsi="Times New Roman" w:eastAsia="宋体" w:cs="Times New Roman"/>
          <w:sz w:val="28"/>
          <w:szCs w:val="28"/>
        </w:rPr>
        <w:t>开发了生物质/工业固废复合绿色胶凝体系，形成了生物质资源高值化利用、工业固废资源化替代、表面活性聚合物乳液界面增韧及多级微纳米掺合料协同致密化等成套关键技术，实现了UHPC绿色化、高性能、规模化制备。该技术突破了高比例胶凝材料替代与超高性能难以兼顾的技术瓶颈，在显著降低水泥用量和生产过程碳排放的同时，保持了UHPC优异的力学性能和耐久性能。</w:t>
      </w:r>
    </w:p>
    <w:p w14:paraId="6A0E91A4">
      <w:pPr>
        <w:adjustRightInd w:val="0"/>
        <w:snapToGrid w:val="0"/>
        <w:spacing w:line="360" w:lineRule="exact"/>
        <w:ind w:firstLine="562" w:firstLineChars="200"/>
        <w:rPr>
          <w:rFonts w:hint="eastAsia" w:ascii="Times New Roman" w:hAnsi="Times New Roman" w:eastAsia="宋体" w:cs="Times New Roman"/>
          <w:b/>
          <w:bCs/>
          <w:sz w:val="28"/>
          <w:szCs w:val="28"/>
        </w:rPr>
      </w:pPr>
      <w:r>
        <w:rPr>
          <w:rFonts w:ascii="Times New Roman" w:hAnsi="Times New Roman" w:eastAsia="宋体" w:cs="Times New Roman"/>
          <w:b/>
          <w:bCs/>
          <w:sz w:val="28"/>
          <w:szCs w:val="28"/>
        </w:rPr>
        <w:t xml:space="preserve">2. </w:t>
      </w:r>
      <w:r>
        <w:rPr>
          <w:rFonts w:hint="eastAsia" w:ascii="Times New Roman" w:hAnsi="Times New Roman" w:eastAsia="宋体" w:cs="Times New Roman"/>
          <w:b/>
          <w:bCs/>
          <w:sz w:val="28"/>
          <w:szCs w:val="28"/>
        </w:rPr>
        <w:t>混杂纤维增强</w:t>
      </w:r>
      <w:r>
        <w:rPr>
          <w:rFonts w:ascii="Times New Roman" w:hAnsi="Times New Roman" w:eastAsia="宋体" w:cs="Times New Roman"/>
          <w:b/>
          <w:bCs/>
          <w:sz w:val="28"/>
          <w:szCs w:val="28"/>
        </w:rPr>
        <w:t>UHPC</w:t>
      </w:r>
      <w:r>
        <w:rPr>
          <w:rFonts w:hint="eastAsia" w:ascii="Times New Roman" w:hAnsi="Times New Roman" w:eastAsia="宋体" w:cs="Times New Roman"/>
          <w:b/>
          <w:bCs/>
          <w:sz w:val="28"/>
          <w:szCs w:val="28"/>
        </w:rPr>
        <w:t>保温结构一体化复杂板材制备技术</w:t>
      </w:r>
    </w:p>
    <w:p w14:paraId="46BB9143">
      <w:pPr>
        <w:adjustRightInd w:val="0"/>
        <w:snapToGrid w:val="0"/>
        <w:spacing w:line="360" w:lineRule="exact"/>
        <w:ind w:firstLine="560" w:firstLineChars="200"/>
        <w:rPr>
          <w:rFonts w:ascii="Times New Roman" w:hAnsi="Times New Roman" w:eastAsia="宋体" w:cs="Times New Roman"/>
          <w:sz w:val="28"/>
          <w:szCs w:val="28"/>
        </w:rPr>
      </w:pPr>
      <w:r>
        <w:rPr>
          <w:rFonts w:hint="eastAsia" w:ascii="Times New Roman" w:hAnsi="Times New Roman" w:eastAsia="宋体" w:cs="Times New Roman"/>
          <w:sz w:val="28"/>
          <w:szCs w:val="28"/>
        </w:rPr>
        <w:t>针对</w:t>
      </w:r>
      <w:r>
        <w:rPr>
          <w:rFonts w:ascii="Times New Roman" w:hAnsi="Times New Roman" w:eastAsia="宋体" w:cs="Times New Roman"/>
          <w:sz w:val="28"/>
          <w:szCs w:val="28"/>
        </w:rPr>
        <w:t>常规保温板材保温性能优异但结构强度、韧性、耐久性薄弱</w:t>
      </w:r>
      <w:r>
        <w:rPr>
          <w:rFonts w:hint="eastAsia" w:ascii="Times New Roman" w:hAnsi="Times New Roman" w:eastAsia="宋体" w:cs="Times New Roman"/>
          <w:sz w:val="28"/>
          <w:szCs w:val="28"/>
        </w:rPr>
        <w:t>；</w:t>
      </w:r>
      <w:r>
        <w:rPr>
          <w:rFonts w:ascii="Times New Roman" w:hAnsi="Times New Roman" w:eastAsia="宋体" w:cs="Times New Roman"/>
          <w:sz w:val="28"/>
          <w:szCs w:val="28"/>
        </w:rPr>
        <w:t>UHPC强度高、耐久性好但</w:t>
      </w:r>
      <w:r>
        <w:rPr>
          <w:rFonts w:hint="eastAsia" w:ascii="Times New Roman" w:hAnsi="Times New Roman" w:eastAsia="宋体" w:cs="Times New Roman"/>
          <w:sz w:val="28"/>
          <w:szCs w:val="28"/>
        </w:rPr>
        <w:t>其</w:t>
      </w:r>
      <w:r>
        <w:rPr>
          <w:rFonts w:ascii="Times New Roman" w:hAnsi="Times New Roman" w:eastAsia="宋体" w:cs="Times New Roman"/>
          <w:sz w:val="28"/>
          <w:szCs w:val="28"/>
        </w:rPr>
        <w:t>基体致密、导热系数偏高，单纯板材保温效果差</w:t>
      </w:r>
      <w:r>
        <w:rPr>
          <w:rFonts w:hint="eastAsia" w:ascii="Times New Roman" w:hAnsi="Times New Roman" w:eastAsia="宋体" w:cs="Times New Roman"/>
          <w:sz w:val="28"/>
          <w:szCs w:val="28"/>
        </w:rPr>
        <w:t>；</w:t>
      </w:r>
      <w:r>
        <w:rPr>
          <w:rFonts w:ascii="Times New Roman" w:hAnsi="Times New Roman" w:eastAsia="宋体" w:cs="Times New Roman"/>
          <w:sz w:val="28"/>
          <w:szCs w:val="28"/>
        </w:rPr>
        <w:t>现有保温芯材</w:t>
      </w:r>
      <w:r>
        <w:rPr>
          <w:rFonts w:hint="eastAsia" w:ascii="Times New Roman" w:hAnsi="Times New Roman" w:eastAsia="宋体" w:cs="Times New Roman"/>
          <w:sz w:val="28"/>
          <w:szCs w:val="28"/>
        </w:rPr>
        <w:t>热工性能不佳，且</w:t>
      </w:r>
      <w:r>
        <w:rPr>
          <w:rFonts w:ascii="Times New Roman" w:hAnsi="Times New Roman" w:eastAsia="宋体" w:cs="Times New Roman"/>
          <w:sz w:val="28"/>
          <w:szCs w:val="28"/>
        </w:rPr>
        <w:t>与UHPC</w:t>
      </w:r>
      <w:r>
        <w:rPr>
          <w:rFonts w:hint="eastAsia" w:ascii="Times New Roman" w:hAnsi="Times New Roman" w:eastAsia="宋体" w:cs="Times New Roman"/>
          <w:sz w:val="28"/>
          <w:szCs w:val="28"/>
        </w:rPr>
        <w:t>板材</w:t>
      </w:r>
      <w:r>
        <w:rPr>
          <w:rFonts w:ascii="Times New Roman" w:hAnsi="Times New Roman" w:eastAsia="宋体" w:cs="Times New Roman"/>
          <w:sz w:val="28"/>
          <w:szCs w:val="28"/>
        </w:rPr>
        <w:t>多为后期粘接复合</w:t>
      </w:r>
      <w:r>
        <w:rPr>
          <w:rFonts w:hint="eastAsia" w:ascii="Times New Roman" w:hAnsi="Times New Roman" w:eastAsia="宋体" w:cs="Times New Roman"/>
          <w:sz w:val="28"/>
          <w:szCs w:val="28"/>
        </w:rPr>
        <w:t>、</w:t>
      </w:r>
      <w:r>
        <w:rPr>
          <w:rFonts w:ascii="Times New Roman" w:hAnsi="Times New Roman" w:eastAsia="宋体" w:cs="Times New Roman"/>
          <w:sz w:val="28"/>
          <w:szCs w:val="28"/>
        </w:rPr>
        <w:t>界面易脱粘，防火、抗风压协同性能不</w:t>
      </w:r>
      <w:r>
        <w:rPr>
          <w:rFonts w:hint="eastAsia" w:ascii="Times New Roman" w:hAnsi="Times New Roman" w:eastAsia="宋体" w:cs="Times New Roman"/>
          <w:sz w:val="28"/>
          <w:szCs w:val="28"/>
        </w:rPr>
        <w:t>佳</w:t>
      </w:r>
      <w:r>
        <w:rPr>
          <w:rFonts w:ascii="Times New Roman" w:hAnsi="Times New Roman" w:eastAsia="宋体" w:cs="Times New Roman"/>
          <w:sz w:val="28"/>
          <w:szCs w:val="28"/>
        </w:rPr>
        <w:t>，无法满足严寒/夏热冬冷地区</w:t>
      </w:r>
      <w:r>
        <w:rPr>
          <w:rFonts w:hint="eastAsia" w:ascii="Times New Roman" w:hAnsi="Times New Roman" w:eastAsia="宋体" w:cs="Times New Roman"/>
          <w:sz w:val="28"/>
          <w:szCs w:val="28"/>
        </w:rPr>
        <w:t>的</w:t>
      </w:r>
      <w:r>
        <w:rPr>
          <w:rFonts w:ascii="Times New Roman" w:hAnsi="Times New Roman" w:eastAsia="宋体" w:cs="Times New Roman"/>
          <w:sz w:val="28"/>
          <w:szCs w:val="28"/>
        </w:rPr>
        <w:t>建筑节能指标。</w:t>
      </w:r>
      <w:r>
        <w:rPr>
          <w:rFonts w:hint="eastAsia" w:ascii="Times New Roman" w:hAnsi="Times New Roman" w:eastAsia="宋体" w:cs="Times New Roman"/>
          <w:sz w:val="28"/>
          <w:szCs w:val="28"/>
        </w:rPr>
        <w:t>通过混杂纤维主动取向控制、复杂板材高精度成型与结构保温一体化技术的集成，制备轻质高强且高效保温的</w:t>
      </w:r>
      <w:r>
        <w:rPr>
          <w:rFonts w:ascii="Times New Roman" w:hAnsi="Times New Roman" w:eastAsia="宋体" w:cs="Times New Roman"/>
          <w:sz w:val="28"/>
          <w:szCs w:val="28"/>
        </w:rPr>
        <w:t>UHPC</w:t>
      </w:r>
      <w:r>
        <w:rPr>
          <w:rFonts w:hint="eastAsia" w:ascii="Times New Roman" w:hAnsi="Times New Roman" w:eastAsia="宋体" w:cs="Times New Roman"/>
          <w:sz w:val="28"/>
          <w:szCs w:val="28"/>
        </w:rPr>
        <w:t>板材，兼顾复杂建筑围护结构承载与运行节能需求。</w:t>
      </w:r>
    </w:p>
    <w:p w14:paraId="1E40B253">
      <w:pPr>
        <w:adjustRightInd w:val="0"/>
        <w:snapToGrid w:val="0"/>
        <w:spacing w:line="360" w:lineRule="exact"/>
        <w:ind w:firstLine="562" w:firstLineChars="200"/>
        <w:rPr>
          <w:rFonts w:ascii="Times New Roman" w:hAnsi="Times New Roman" w:eastAsia="宋体" w:cs="Times New Roman"/>
          <w:b/>
          <w:bCs/>
          <w:sz w:val="28"/>
          <w:szCs w:val="28"/>
        </w:rPr>
      </w:pPr>
      <w:r>
        <w:rPr>
          <w:rFonts w:ascii="Times New Roman" w:hAnsi="Times New Roman" w:eastAsia="宋体" w:cs="Times New Roman"/>
          <w:b/>
          <w:bCs/>
          <w:sz w:val="28"/>
          <w:szCs w:val="28"/>
        </w:rPr>
        <w:t>3.</w:t>
      </w:r>
      <w:r>
        <w:rPr>
          <w:rFonts w:hint="eastAsia" w:ascii="Times New Roman" w:hAnsi="Times New Roman" w:eastAsia="宋体" w:cs="Times New Roman"/>
          <w:b/>
          <w:bCs/>
          <w:sz w:val="28"/>
          <w:szCs w:val="28"/>
        </w:rPr>
        <w:t xml:space="preserve"> 多功能集成</w:t>
      </w:r>
      <w:r>
        <w:rPr>
          <w:rFonts w:ascii="Times New Roman" w:hAnsi="Times New Roman" w:eastAsia="宋体" w:cs="Times New Roman"/>
          <w:b/>
          <w:bCs/>
          <w:sz w:val="28"/>
          <w:szCs w:val="28"/>
        </w:rPr>
        <w:t>UHPC</w:t>
      </w:r>
      <w:r>
        <w:rPr>
          <w:rFonts w:hint="eastAsia" w:ascii="Times New Roman" w:hAnsi="Times New Roman" w:eastAsia="宋体" w:cs="Times New Roman"/>
          <w:b/>
          <w:bCs/>
          <w:sz w:val="28"/>
          <w:szCs w:val="28"/>
        </w:rPr>
        <w:t>高耐久装饰层绿色制备技术</w:t>
      </w:r>
    </w:p>
    <w:p w14:paraId="24C09454">
      <w:pPr>
        <w:adjustRightInd w:val="0"/>
        <w:snapToGrid w:val="0"/>
        <w:spacing w:line="360" w:lineRule="exact"/>
        <w:ind w:firstLine="560" w:firstLineChars="200"/>
        <w:rPr>
          <w:rFonts w:hint="eastAsia" w:ascii="Times New Roman" w:hAnsi="Times New Roman" w:eastAsia="宋体" w:cs="Times New Roman"/>
          <w:sz w:val="28"/>
          <w:szCs w:val="28"/>
        </w:rPr>
      </w:pPr>
      <w:r>
        <w:rPr>
          <w:rFonts w:hint="eastAsia" w:ascii="Times New Roman" w:hAnsi="Times New Roman" w:eastAsia="宋体" w:cs="Times New Roman"/>
          <w:sz w:val="28"/>
          <w:szCs w:val="28"/>
        </w:rPr>
        <w:t>传统混凝土饰面易出现开裂、风化、色差及脱落，长期装饰稳定性差；石材、陶瓷等饰面材料自重较大、异形加工难度高，难以满足现代建筑定制化、工业化、装配化的建造需求。自主开发了多功能集成UHPC高耐久装饰层绿色制备技术，形成界面增强、功能复合、绿色定制一体化成套工艺。该技术可实现装饰与结构一体化成型，赋予饰面抗裂、耐风化、自清洁、发光等复合性能。</w:t>
      </w:r>
    </w:p>
    <w:p w14:paraId="3D7C66DB">
      <w:pPr>
        <w:adjustRightInd w:val="0"/>
        <w:snapToGrid w:val="0"/>
        <w:spacing w:line="360" w:lineRule="exact"/>
        <w:ind w:firstLine="560" w:firstLineChars="200"/>
        <w:rPr>
          <w:bCs/>
          <w:color w:val="000000"/>
          <w:sz w:val="24"/>
        </w:rPr>
      </w:pPr>
      <w:r>
        <w:rPr>
          <w:rFonts w:hint="eastAsia" w:ascii="Times New Roman" w:hAnsi="Times New Roman" w:eastAsia="宋体" w:cs="Times New Roman"/>
          <w:sz w:val="28"/>
          <w:szCs w:val="28"/>
        </w:rPr>
        <w:t>项目开发的产品力学、保温、装饰耐久等关键技术指标优于国内外同类产品，成功</w:t>
      </w:r>
      <w:bookmarkStart w:id="3" w:name="OLE_LINK55"/>
      <w:r>
        <w:rPr>
          <w:rFonts w:hint="eastAsia" w:ascii="Times New Roman" w:hAnsi="Times New Roman" w:eastAsia="宋体" w:cs="Times New Roman"/>
          <w:sz w:val="28"/>
          <w:szCs w:val="28"/>
        </w:rPr>
        <w:t>应用于全国各大重点城市及国外多个大型建筑项目</w:t>
      </w:r>
      <w:bookmarkEnd w:id="3"/>
      <w:r>
        <w:rPr>
          <w:rFonts w:hint="eastAsia" w:ascii="Times New Roman" w:hAnsi="Times New Roman" w:eastAsia="宋体" w:cs="Times New Roman"/>
          <w:sz w:val="28"/>
          <w:szCs w:val="28"/>
        </w:rPr>
        <w:t>，如</w:t>
      </w:r>
      <w:r>
        <w:rPr>
          <w:rFonts w:ascii="Times New Roman" w:hAnsi="Times New Roman" w:eastAsia="宋体" w:cs="Times New Roman"/>
          <w:sz w:val="28"/>
          <w:szCs w:val="28"/>
        </w:rPr>
        <w:t>日本最大且最复杂的装饰幕墙项目</w:t>
      </w:r>
      <w:r>
        <w:rPr>
          <w:rFonts w:hint="eastAsia" w:ascii="Times New Roman" w:hAnsi="Times New Roman" w:eastAsia="宋体" w:cs="Times New Roman"/>
          <w:sz w:val="28"/>
          <w:szCs w:val="28"/>
        </w:rPr>
        <w:t>“</w:t>
      </w:r>
      <w:r>
        <w:rPr>
          <w:rFonts w:ascii="Times New Roman" w:hAnsi="Times New Roman" w:eastAsia="宋体" w:cs="Times New Roman"/>
          <w:sz w:val="28"/>
          <w:szCs w:val="28"/>
        </w:rPr>
        <w:t>东京虎之门麻布台</w:t>
      </w:r>
      <w:r>
        <w:rPr>
          <w:rFonts w:hint="eastAsia" w:ascii="Times New Roman" w:hAnsi="Times New Roman" w:eastAsia="宋体" w:cs="Times New Roman"/>
          <w:sz w:val="28"/>
          <w:szCs w:val="28"/>
        </w:rPr>
        <w:t>”</w:t>
      </w:r>
      <w:r>
        <w:rPr>
          <w:rFonts w:ascii="Times New Roman" w:hAnsi="Times New Roman" w:eastAsia="宋体" w:cs="Times New Roman"/>
          <w:sz w:val="28"/>
          <w:szCs w:val="28"/>
        </w:rPr>
        <w:t>、国内最大单体的</w:t>
      </w:r>
      <w:r>
        <w:rPr>
          <w:rFonts w:hint="eastAsia" w:ascii="Times New Roman" w:hAnsi="Times New Roman" w:eastAsia="宋体" w:cs="Times New Roman"/>
          <w:sz w:val="28"/>
          <w:szCs w:val="28"/>
        </w:rPr>
        <w:t>UHPC</w:t>
      </w:r>
      <w:r>
        <w:rPr>
          <w:rFonts w:ascii="Times New Roman" w:hAnsi="Times New Roman" w:eastAsia="宋体" w:cs="Times New Roman"/>
          <w:sz w:val="28"/>
          <w:szCs w:val="28"/>
        </w:rPr>
        <w:t>项目</w:t>
      </w:r>
      <w:r>
        <w:rPr>
          <w:rFonts w:hint="eastAsia" w:ascii="Times New Roman" w:hAnsi="Times New Roman" w:eastAsia="宋体" w:cs="Times New Roman"/>
          <w:sz w:val="28"/>
          <w:szCs w:val="28"/>
        </w:rPr>
        <w:t>“</w:t>
      </w:r>
      <w:r>
        <w:rPr>
          <w:rFonts w:ascii="Times New Roman" w:hAnsi="Times New Roman" w:eastAsia="宋体" w:cs="Times New Roman"/>
          <w:sz w:val="28"/>
          <w:szCs w:val="28"/>
        </w:rPr>
        <w:t>西安国际足球中心</w:t>
      </w:r>
      <w:r>
        <w:rPr>
          <w:rFonts w:hint="eastAsia" w:ascii="Times New Roman" w:hAnsi="Times New Roman" w:eastAsia="宋体" w:cs="Times New Roman"/>
          <w:sz w:val="28"/>
          <w:szCs w:val="28"/>
        </w:rPr>
        <w:t>”，深受中建公司、华润集团、世茂集团等知名公司认可，用户反馈极佳，市场竞争力强。累计获授权发明专利16件、实用新型专利</w:t>
      </w:r>
      <w:r>
        <w:rPr>
          <w:rFonts w:ascii="Times New Roman" w:hAnsi="Times New Roman" w:eastAsia="宋体" w:cs="Times New Roman"/>
          <w:sz w:val="28"/>
          <w:szCs w:val="28"/>
        </w:rPr>
        <w:t>2</w:t>
      </w:r>
      <w:r>
        <w:rPr>
          <w:rFonts w:hint="eastAsia" w:ascii="Times New Roman" w:hAnsi="Times New Roman" w:eastAsia="宋体" w:cs="Times New Roman"/>
          <w:sz w:val="28"/>
          <w:szCs w:val="28"/>
        </w:rPr>
        <w:t>件、软件著作权</w:t>
      </w:r>
      <w:r>
        <w:rPr>
          <w:rFonts w:ascii="Times New Roman" w:hAnsi="Times New Roman" w:eastAsia="宋体" w:cs="Times New Roman"/>
          <w:sz w:val="28"/>
          <w:szCs w:val="28"/>
        </w:rPr>
        <w:t>2</w:t>
      </w:r>
      <w:r>
        <w:rPr>
          <w:rFonts w:hint="eastAsia" w:ascii="Times New Roman" w:hAnsi="Times New Roman" w:eastAsia="宋体" w:cs="Times New Roman"/>
          <w:sz w:val="28"/>
          <w:szCs w:val="28"/>
        </w:rPr>
        <w:t>项，核心技术自主可控；获中国绿色建材产品认证；</w:t>
      </w:r>
      <w:r>
        <w:rPr>
          <w:rFonts w:ascii="Times New Roman" w:hAnsi="Times New Roman" w:eastAsia="宋体" w:cs="Times New Roman"/>
          <w:sz w:val="28"/>
          <w:szCs w:val="28"/>
        </w:rPr>
        <w:t>获安徽省商标品牌示范企业</w:t>
      </w:r>
      <w:r>
        <w:rPr>
          <w:rFonts w:hint="eastAsia" w:ascii="Times New Roman" w:hAnsi="Times New Roman" w:eastAsia="宋体" w:cs="Times New Roman"/>
          <w:sz w:val="28"/>
          <w:szCs w:val="28"/>
        </w:rPr>
        <w:t>、安徽省工业精品</w:t>
      </w:r>
      <w:r>
        <w:rPr>
          <w:rFonts w:ascii="Times New Roman" w:hAnsi="Times New Roman" w:eastAsia="宋体" w:cs="Times New Roman"/>
          <w:sz w:val="28"/>
          <w:szCs w:val="28"/>
        </w:rPr>
        <w:t>；</w:t>
      </w:r>
      <w:r>
        <w:rPr>
          <w:rFonts w:hint="eastAsia" w:ascii="Times New Roman" w:hAnsi="Times New Roman" w:eastAsia="宋体" w:cs="Times New Roman"/>
          <w:sz w:val="28"/>
          <w:szCs w:val="28"/>
        </w:rPr>
        <w:t>获</w:t>
      </w:r>
      <w:r>
        <w:rPr>
          <w:rFonts w:ascii="Times New Roman" w:hAnsi="Times New Roman" w:eastAsia="宋体" w:cs="Times New Roman"/>
          <w:sz w:val="28"/>
          <w:szCs w:val="28"/>
        </w:rPr>
        <w:t>中华环保联合会</w:t>
      </w:r>
      <w:r>
        <w:rPr>
          <w:rFonts w:hint="eastAsia" w:ascii="Times New Roman" w:hAnsi="Times New Roman" w:eastAsia="宋体" w:cs="Times New Roman"/>
          <w:sz w:val="28"/>
          <w:szCs w:val="28"/>
        </w:rPr>
        <w:t>科技进步奖一等奖、中国混凝土与水泥制品协会混凝土科学技术奖二等奖；参与主编《超高性能混凝土非承重构件性能试验方法》等国家及行业标准</w:t>
      </w:r>
      <w:r>
        <w:rPr>
          <w:rFonts w:ascii="Times New Roman" w:hAnsi="Times New Roman" w:eastAsia="宋体" w:cs="Times New Roman"/>
          <w:sz w:val="28"/>
          <w:szCs w:val="28"/>
        </w:rPr>
        <w:t>8</w:t>
      </w:r>
      <w:r>
        <w:rPr>
          <w:rFonts w:hint="eastAsia" w:ascii="Times New Roman" w:hAnsi="Times New Roman" w:eastAsia="宋体" w:cs="Times New Roman"/>
          <w:sz w:val="28"/>
          <w:szCs w:val="28"/>
        </w:rPr>
        <w:t>项。经权威查新，项目核心技术具有显著创新性。专家组鉴定项目成果整体达到国际先进水平。第三方检测与客户评价一致认可产品品质稳定可靠。近三年新增销售额</w:t>
      </w:r>
      <w:r>
        <w:rPr>
          <w:rFonts w:ascii="Times New Roman" w:hAnsi="Times New Roman" w:eastAsia="宋体" w:cs="Times New Roman"/>
          <w:sz w:val="28"/>
          <w:szCs w:val="28"/>
        </w:rPr>
        <w:t>71651.19</w:t>
      </w:r>
      <w:r>
        <w:rPr>
          <w:rFonts w:hint="eastAsia" w:ascii="Times New Roman" w:hAnsi="Times New Roman" w:eastAsia="宋体" w:cs="Times New Roman"/>
          <w:sz w:val="28"/>
          <w:szCs w:val="28"/>
        </w:rPr>
        <w:t>万元，经济效益突出，主导产品市场占有率</w:t>
      </w:r>
      <w:r>
        <w:rPr>
          <w:rFonts w:ascii="Times New Roman" w:hAnsi="Times New Roman" w:eastAsia="宋体" w:cs="Times New Roman"/>
          <w:sz w:val="28"/>
          <w:szCs w:val="28"/>
        </w:rPr>
        <w:t>超14%，稳居全国第二</w:t>
      </w:r>
      <w:r>
        <w:rPr>
          <w:rFonts w:hint="eastAsia" w:ascii="Times New Roman" w:hAnsi="Times New Roman" w:eastAsia="宋体" w:cs="Times New Roman"/>
          <w:sz w:val="28"/>
          <w:szCs w:val="28"/>
        </w:rPr>
        <w:t>。项目的成功实施推动了装配式建筑产业升级，对行业高质量发展起到显著示范作用。</w:t>
      </w:r>
    </w:p>
    <w:p w14:paraId="3431A21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7BA"/>
    <w:rsid w:val="000F7401"/>
    <w:rsid w:val="00102448"/>
    <w:rsid w:val="00276B54"/>
    <w:rsid w:val="0030023E"/>
    <w:rsid w:val="003839CB"/>
    <w:rsid w:val="003F0AD1"/>
    <w:rsid w:val="004717BA"/>
    <w:rsid w:val="00675528"/>
    <w:rsid w:val="006D719E"/>
    <w:rsid w:val="0070091B"/>
    <w:rsid w:val="00713FA5"/>
    <w:rsid w:val="007F3C55"/>
    <w:rsid w:val="00882D7C"/>
    <w:rsid w:val="00896897"/>
    <w:rsid w:val="00A80404"/>
    <w:rsid w:val="00B60D12"/>
    <w:rsid w:val="00BB167B"/>
    <w:rsid w:val="00C10ADE"/>
    <w:rsid w:val="00C25C62"/>
    <w:rsid w:val="00D361D0"/>
    <w:rsid w:val="00D45C0B"/>
    <w:rsid w:val="00E13175"/>
    <w:rsid w:val="00F90A66"/>
    <w:rsid w:val="11EB518E"/>
    <w:rsid w:val="20CC6D16"/>
    <w:rsid w:val="230B6414"/>
    <w:rsid w:val="4ED80FF1"/>
    <w:rsid w:val="54C15E10"/>
    <w:rsid w:val="54C60F96"/>
    <w:rsid w:val="6AB02048"/>
    <w:rsid w:val="6B6C1BA6"/>
    <w:rsid w:val="7DE438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spacing w:beforeAutospacing="1" w:afterAutospacing="1"/>
      <w:jc w:val="left"/>
      <w:outlineLvl w:val="0"/>
    </w:pPr>
    <w:rPr>
      <w:rFonts w:hint="eastAsia" w:ascii="宋体" w:hAnsi="宋体" w:eastAsia="宋体" w:cs="Times New Roman"/>
      <w:b/>
      <w:bCs/>
      <w:kern w:val="44"/>
      <w:sz w:val="48"/>
      <w:szCs w:val="48"/>
    </w:rPr>
  </w:style>
  <w:style w:type="character" w:default="1" w:styleId="6">
    <w:name w:val="Default Paragraph Font"/>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3">
    <w:name w:val="footer"/>
    <w:basedOn w:val="1"/>
    <w:link w:val="8"/>
    <w:qFormat/>
    <w:uiPriority w:val="0"/>
    <w:pPr>
      <w:tabs>
        <w:tab w:val="center" w:pos="4153"/>
        <w:tab w:val="right" w:pos="8306"/>
      </w:tabs>
      <w:snapToGrid w:val="0"/>
      <w:jc w:val="left"/>
    </w:pPr>
    <w:rPr>
      <w:sz w:val="18"/>
      <w:szCs w:val="18"/>
    </w:rPr>
  </w:style>
  <w:style w:type="paragraph" w:styleId="4">
    <w:name w:val="header"/>
    <w:basedOn w:val="1"/>
    <w:link w:val="7"/>
    <w:uiPriority w:val="0"/>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6"/>
    <w:link w:val="4"/>
    <w:qFormat/>
    <w:uiPriority w:val="0"/>
    <w:rPr>
      <w:kern w:val="2"/>
      <w:sz w:val="18"/>
      <w:szCs w:val="18"/>
    </w:rPr>
  </w:style>
  <w:style w:type="character" w:customStyle="1" w:styleId="8">
    <w:name w:val="页脚 字符"/>
    <w:basedOn w:val="6"/>
    <w:link w:val="3"/>
    <w:uiPriority w:val="0"/>
    <w:rPr>
      <w:kern w:val="2"/>
      <w:sz w:val="18"/>
      <w:szCs w:val="18"/>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1665</Words>
  <Characters>1717</Characters>
  <Lines>12</Lines>
  <Paragraphs>3</Paragraphs>
  <TotalTime>6</TotalTime>
  <ScaleCrop>false</ScaleCrop>
  <LinksUpToDate>false</LinksUpToDate>
  <CharactersWithSpaces>1720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2026-08-12T03:44:00Z</dcterms:created>
  <dc:creator>Administrator</dc:creator>
  <cp:lastModifiedBy>陈静</cp:lastModifiedBy>
  <dcterms:modified xsi:type="dcterms:W3CDTF">2026-08-12T05:47:16Z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eyJoZGlkIjoiZWY5ODQyN2FmM2VkMmExODM1YWE3NjkzMzgyMmQyMWYiLCJ1c2VySWQiOiI3MTc2MDE3MzgifQ==</vt:lpwstr>
  </property>
  <property fmtid="{D5CDD505-2E9C-101B-9397-08002B2CF9AE}" pid="4" name="ICV">
    <vt:lpwstr>68B9036837E740F0AA9CE332ED517298_12</vt:lpwstr>
  </property>
</Properties>
</file>