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9E" w:rsidRDefault="00444B2A">
      <w:pPr>
        <w:spacing w:line="588" w:lineRule="exact"/>
        <w:jc w:val="left"/>
        <w:rPr>
          <w:rFonts w:ascii="黑体" w:eastAsia="黑体" w:hAnsi="黑体" w:cs="黑体"/>
          <w:sz w:val="28"/>
          <w:szCs w:val="28"/>
        </w:rPr>
      </w:pPr>
      <w:bookmarkStart w:id="0" w:name="_GoBack"/>
      <w:bookmarkEnd w:id="0"/>
      <w:r>
        <w:rPr>
          <w:rFonts w:ascii="黑体" w:eastAsia="黑体" w:hAnsi="黑体" w:cs="黑体" w:hint="eastAsia"/>
          <w:sz w:val="28"/>
          <w:szCs w:val="28"/>
        </w:rPr>
        <w:t>附件</w:t>
      </w:r>
      <w:r>
        <w:rPr>
          <w:rFonts w:ascii="Times New Roman" w:eastAsia="黑体" w:hAnsi="Times New Roman" w:cs="Times New Roman"/>
          <w:sz w:val="28"/>
          <w:szCs w:val="28"/>
        </w:rPr>
        <w:t>1</w:t>
      </w:r>
    </w:p>
    <w:p w:rsidR="00BD699E" w:rsidRDefault="00BD699E">
      <w:pPr>
        <w:spacing w:line="588" w:lineRule="exact"/>
        <w:ind w:firstLineChars="200" w:firstLine="720"/>
        <w:jc w:val="center"/>
        <w:rPr>
          <w:rFonts w:ascii="Times New Roman" w:eastAsia="方正小标宋_GBK" w:hAnsi="Times New Roman" w:cs="Times New Roman"/>
          <w:sz w:val="36"/>
          <w:szCs w:val="36"/>
        </w:rPr>
      </w:pPr>
    </w:p>
    <w:p w:rsidR="00BD699E" w:rsidRDefault="00444B2A">
      <w:pPr>
        <w:spacing w:line="588"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就业收入分配</w:t>
      </w:r>
      <w:r>
        <w:rPr>
          <w:rFonts w:ascii="Times New Roman" w:eastAsia="方正小标宋_GBK" w:hAnsi="Times New Roman" w:cs="Times New Roman" w:hint="eastAsia"/>
          <w:sz w:val="36"/>
          <w:szCs w:val="36"/>
        </w:rPr>
        <w:t>和消费</w:t>
      </w:r>
      <w:r>
        <w:rPr>
          <w:rFonts w:ascii="Times New Roman" w:eastAsia="方正小标宋_GBK" w:hAnsi="Times New Roman" w:cs="Times New Roman"/>
          <w:sz w:val="36"/>
          <w:szCs w:val="36"/>
        </w:rPr>
        <w:t>司</w:t>
      </w:r>
      <w:r>
        <w:rPr>
          <w:rFonts w:ascii="Times New Roman" w:eastAsia="方正小标宋_GBK" w:hAnsi="Times New Roman" w:cs="Times New Roman"/>
          <w:sz w:val="36"/>
          <w:szCs w:val="36"/>
        </w:rPr>
        <w:t>2020</w:t>
      </w:r>
      <w:r>
        <w:rPr>
          <w:rFonts w:ascii="Times New Roman" w:eastAsia="方正小标宋_GBK" w:hAnsi="Times New Roman" w:cs="Times New Roman"/>
          <w:sz w:val="36"/>
          <w:szCs w:val="36"/>
        </w:rPr>
        <w:t>年课题研究</w:t>
      </w:r>
      <w:r>
        <w:rPr>
          <w:rFonts w:ascii="Times New Roman" w:eastAsia="方正小标宋_GBK" w:hAnsi="Times New Roman" w:cs="Times New Roman" w:hint="eastAsia"/>
          <w:sz w:val="36"/>
          <w:szCs w:val="36"/>
        </w:rPr>
        <w:t>要点</w:t>
      </w:r>
    </w:p>
    <w:p w:rsidR="00BD699E" w:rsidRDefault="00BD699E">
      <w:pPr>
        <w:spacing w:line="588" w:lineRule="exact"/>
        <w:ind w:firstLineChars="200" w:firstLine="420"/>
        <w:jc w:val="left"/>
      </w:pPr>
    </w:p>
    <w:p w:rsidR="00BD699E" w:rsidRDefault="00444B2A">
      <w:pPr>
        <w:spacing w:line="588" w:lineRule="exact"/>
        <w:ind w:firstLineChars="200" w:firstLine="600"/>
        <w:outlineLvl w:val="0"/>
        <w:rPr>
          <w:rFonts w:ascii="方正黑体_GBK" w:eastAsia="方正黑体_GBK" w:hAnsi="方正黑体_GBK" w:cs="方正黑体_GBK"/>
          <w:bCs/>
          <w:sz w:val="30"/>
          <w:szCs w:val="30"/>
        </w:rPr>
      </w:pPr>
      <w:r>
        <w:rPr>
          <w:rFonts w:ascii="方正黑体_GBK" w:eastAsia="方正黑体_GBK" w:hAnsi="方正黑体_GBK" w:cs="方正黑体_GBK"/>
          <w:bCs/>
          <w:sz w:val="30"/>
          <w:szCs w:val="30"/>
        </w:rPr>
        <w:t>一、</w:t>
      </w:r>
      <w:r>
        <w:rPr>
          <w:rFonts w:ascii="方正黑体_GBK" w:eastAsia="方正黑体_GBK" w:hAnsi="方正黑体_GBK" w:cs="方正黑体_GBK" w:hint="eastAsia"/>
          <w:bCs/>
          <w:sz w:val="30"/>
          <w:szCs w:val="30"/>
        </w:rPr>
        <w:t>“十四五”时期职业技能培训发展战略研究</w:t>
      </w:r>
    </w:p>
    <w:p w:rsidR="00BD699E" w:rsidRDefault="00444B2A">
      <w:pPr>
        <w:pStyle w:val="p0"/>
        <w:autoSpaceDN w:val="0"/>
        <w:spacing w:line="588" w:lineRule="exact"/>
        <w:ind w:firstLineChars="200" w:firstLine="600"/>
        <w:rPr>
          <w:rFonts w:ascii="方正仿宋_GBK" w:eastAsia="方正仿宋_GBK" w:hAnsi="方正仿宋_GBK" w:cs="方正仿宋_GBK"/>
          <w:sz w:val="30"/>
          <w:szCs w:val="30"/>
        </w:rPr>
      </w:pPr>
      <w:r>
        <w:rPr>
          <w:rFonts w:ascii="方正楷体_GBK" w:eastAsia="方正楷体_GBK" w:hAnsi="方正楷体_GBK" w:cs="方正楷体_GBK" w:hint="eastAsia"/>
          <w:sz w:val="30"/>
          <w:szCs w:val="30"/>
        </w:rPr>
        <w:t>研究要点</w:t>
      </w:r>
      <w:r>
        <w:rPr>
          <w:rFonts w:ascii="方正仿宋_GBK" w:eastAsia="方正仿宋_GBK" w:hAnsi="方正仿宋_GBK" w:cs="方正仿宋_GBK" w:hint="eastAsia"/>
          <w:sz w:val="30"/>
          <w:szCs w:val="30"/>
        </w:rPr>
        <w:t>：分析我国职业技能培训的开展情况、主要经验</w:t>
      </w:r>
      <w:r>
        <w:rPr>
          <w:rFonts w:ascii="方正仿宋_GBK" w:eastAsia="方正仿宋_GBK" w:hAnsi="方正仿宋_GBK" w:cs="方正仿宋_GBK"/>
          <w:sz w:val="30"/>
          <w:szCs w:val="30"/>
        </w:rPr>
        <w:t>、</w:t>
      </w:r>
      <w:r>
        <w:rPr>
          <w:rFonts w:ascii="方正仿宋_GBK" w:eastAsia="方正仿宋_GBK" w:hAnsi="方正仿宋_GBK" w:cs="方正仿宋_GBK" w:hint="eastAsia"/>
          <w:sz w:val="30"/>
          <w:szCs w:val="30"/>
        </w:rPr>
        <w:t>存在问题</w:t>
      </w:r>
      <w:r>
        <w:rPr>
          <w:rFonts w:ascii="方正仿宋_GBK" w:eastAsia="方正仿宋_GBK" w:hAnsi="方正仿宋_GBK" w:cs="方正仿宋_GBK"/>
          <w:sz w:val="30"/>
          <w:szCs w:val="30"/>
        </w:rPr>
        <w:t>和解决方案</w:t>
      </w:r>
      <w:r>
        <w:rPr>
          <w:rFonts w:ascii="方正仿宋_GBK" w:eastAsia="方正仿宋_GBK" w:hAnsi="方正仿宋_GBK" w:cs="方正仿宋_GBK" w:hint="eastAsia"/>
          <w:sz w:val="30"/>
          <w:szCs w:val="30"/>
        </w:rPr>
        <w:t>。剖析职业技能培训面临的形势和挑战，提出</w:t>
      </w:r>
      <w:r>
        <w:rPr>
          <w:rFonts w:ascii="方正仿宋_GBK" w:eastAsia="方正仿宋_GBK" w:hAnsi="方正仿宋_GBK" w:cs="方正仿宋_GBK" w:hint="eastAsia"/>
          <w:kern w:val="2"/>
          <w:sz w:val="30"/>
          <w:szCs w:val="30"/>
        </w:rPr>
        <w:t>“十四五”时期</w:t>
      </w:r>
      <w:r>
        <w:rPr>
          <w:rFonts w:ascii="方正仿宋_GBK" w:eastAsia="方正仿宋_GBK" w:hAnsi="方正仿宋_GBK" w:cs="方正仿宋_GBK" w:hint="eastAsia"/>
          <w:sz w:val="30"/>
          <w:szCs w:val="30"/>
        </w:rPr>
        <w:t>我国职业技能培训工作的总体指导思想、原则以及工作思路；明确职业技能培训的具体目标、主要任务、重大举措和行动方案。</w:t>
      </w:r>
    </w:p>
    <w:p w:rsidR="00BD699E" w:rsidRDefault="00444B2A">
      <w:pPr>
        <w:spacing w:line="588" w:lineRule="exact"/>
        <w:ind w:firstLineChars="200" w:firstLine="600"/>
        <w:outlineLvl w:val="0"/>
        <w:rPr>
          <w:rFonts w:ascii="方正黑体_GBK" w:eastAsia="方正黑体_GBK" w:hAnsi="方正黑体_GBK" w:cs="方正黑体_GBK"/>
          <w:bCs/>
          <w:sz w:val="30"/>
          <w:szCs w:val="30"/>
        </w:rPr>
      </w:pPr>
      <w:r>
        <w:rPr>
          <w:rFonts w:ascii="方正黑体_GBK" w:eastAsia="方正黑体_GBK" w:hAnsi="方正黑体_GBK" w:cs="方正黑体_GBK"/>
          <w:bCs/>
          <w:sz w:val="30"/>
          <w:szCs w:val="30"/>
        </w:rPr>
        <w:t>二、</w:t>
      </w:r>
      <w:r>
        <w:rPr>
          <w:rFonts w:ascii="方正黑体_GBK" w:eastAsia="方正黑体_GBK" w:hAnsi="方正黑体_GBK" w:cs="方正黑体_GBK"/>
          <w:bCs/>
          <w:sz w:val="30"/>
          <w:szCs w:val="30"/>
        </w:rPr>
        <w:t>“</w:t>
      </w:r>
      <w:r>
        <w:rPr>
          <w:rFonts w:ascii="方正黑体_GBK" w:eastAsia="方正黑体_GBK" w:hAnsi="方正黑体_GBK" w:cs="方正黑体_GBK"/>
          <w:bCs/>
          <w:sz w:val="30"/>
          <w:szCs w:val="30"/>
        </w:rPr>
        <w:t>十四五</w:t>
      </w:r>
      <w:r>
        <w:rPr>
          <w:rFonts w:ascii="方正黑体_GBK" w:eastAsia="方正黑体_GBK" w:hAnsi="方正黑体_GBK" w:cs="方正黑体_GBK"/>
          <w:bCs/>
          <w:sz w:val="30"/>
          <w:szCs w:val="30"/>
        </w:rPr>
        <w:t>”</w:t>
      </w:r>
      <w:r>
        <w:rPr>
          <w:rFonts w:ascii="方正黑体_GBK" w:eastAsia="方正黑体_GBK" w:hAnsi="方正黑体_GBK" w:cs="方正黑体_GBK"/>
          <w:bCs/>
          <w:sz w:val="30"/>
          <w:szCs w:val="30"/>
        </w:rPr>
        <w:t>时期</w:t>
      </w:r>
      <w:r>
        <w:rPr>
          <w:rFonts w:ascii="方正黑体_GBK" w:eastAsia="方正黑体_GBK" w:hAnsi="方正黑体_GBK" w:cs="方正黑体_GBK" w:hint="eastAsia"/>
          <w:bCs/>
          <w:sz w:val="30"/>
          <w:szCs w:val="30"/>
        </w:rPr>
        <w:t>职业技能培训供需预测</w:t>
      </w:r>
      <w:r>
        <w:rPr>
          <w:rFonts w:ascii="方正黑体_GBK" w:eastAsia="方正黑体_GBK" w:hAnsi="方正黑体_GBK" w:cs="方正黑体_GBK"/>
          <w:bCs/>
          <w:sz w:val="30"/>
          <w:szCs w:val="30"/>
        </w:rPr>
        <w:t>研究</w:t>
      </w:r>
    </w:p>
    <w:p w:rsidR="00BD699E" w:rsidRDefault="00444B2A">
      <w:pPr>
        <w:spacing w:line="588" w:lineRule="exact"/>
        <w:ind w:firstLineChars="200" w:firstLine="600"/>
        <w:rPr>
          <w:rFonts w:ascii="方正仿宋_GBK" w:eastAsia="方正仿宋_GBK" w:hAnsi="方正仿宋_GBK" w:cs="方正仿宋_GBK"/>
          <w:sz w:val="30"/>
          <w:szCs w:val="30"/>
        </w:rPr>
      </w:pPr>
      <w:r>
        <w:rPr>
          <w:rFonts w:ascii="方正楷体_GBK" w:eastAsia="方正楷体_GBK" w:hAnsi="方正楷体_GBK" w:cs="方正楷体_GBK" w:hint="eastAsia"/>
          <w:kern w:val="0"/>
          <w:sz w:val="30"/>
          <w:szCs w:val="30"/>
        </w:rPr>
        <w:t>研究要点</w:t>
      </w:r>
      <w:r>
        <w:rPr>
          <w:rFonts w:ascii="方正仿宋_GBK" w:eastAsia="方正仿宋_GBK" w:hAnsi="方正仿宋_GBK" w:cs="方正仿宋_GBK" w:hint="eastAsia"/>
          <w:sz w:val="30"/>
          <w:szCs w:val="30"/>
        </w:rPr>
        <w:t>：分析</w:t>
      </w:r>
      <w:r>
        <w:rPr>
          <w:rFonts w:ascii="方正仿宋_GBK" w:eastAsia="方正仿宋_GBK" w:hAnsi="方正仿宋_GBK" w:cs="方正仿宋_GBK"/>
          <w:sz w:val="30"/>
          <w:szCs w:val="30"/>
        </w:rPr>
        <w:t>“</w:t>
      </w:r>
      <w:r>
        <w:rPr>
          <w:rFonts w:ascii="方正仿宋_GBK" w:eastAsia="方正仿宋_GBK" w:hAnsi="方正仿宋_GBK" w:cs="方正仿宋_GBK"/>
          <w:sz w:val="30"/>
          <w:szCs w:val="30"/>
        </w:rPr>
        <w:t>十四五</w:t>
      </w:r>
      <w:r>
        <w:rPr>
          <w:rFonts w:ascii="方正仿宋_GBK" w:eastAsia="方正仿宋_GBK" w:hAnsi="方正仿宋_GBK" w:cs="方正仿宋_GBK"/>
          <w:sz w:val="30"/>
          <w:szCs w:val="30"/>
        </w:rPr>
        <w:t>”</w:t>
      </w:r>
      <w:r>
        <w:rPr>
          <w:rFonts w:ascii="方正仿宋_GBK" w:eastAsia="方正仿宋_GBK" w:hAnsi="方正仿宋_GBK" w:cs="方正仿宋_GBK"/>
          <w:sz w:val="30"/>
          <w:szCs w:val="30"/>
        </w:rPr>
        <w:t>时期</w:t>
      </w:r>
      <w:r>
        <w:rPr>
          <w:rFonts w:ascii="方正仿宋_GBK" w:eastAsia="方正仿宋_GBK" w:hAnsi="方正仿宋_GBK" w:cs="方正仿宋_GBK" w:hint="eastAsia"/>
          <w:sz w:val="30"/>
          <w:szCs w:val="30"/>
        </w:rPr>
        <w:t>经济社会发展、技术进步、新经济和新业态等对职业培训规模、</w:t>
      </w:r>
      <w:r>
        <w:rPr>
          <w:rFonts w:ascii="方正仿宋_GBK" w:eastAsia="方正仿宋_GBK" w:hAnsi="方正仿宋_GBK" w:cs="方正仿宋_GBK"/>
          <w:sz w:val="30"/>
          <w:szCs w:val="30"/>
        </w:rPr>
        <w:t>培训</w:t>
      </w:r>
      <w:r>
        <w:rPr>
          <w:rFonts w:ascii="方正仿宋_GBK" w:eastAsia="方正仿宋_GBK" w:hAnsi="方正仿宋_GBK" w:cs="方正仿宋_GBK" w:hint="eastAsia"/>
          <w:sz w:val="30"/>
          <w:szCs w:val="30"/>
        </w:rPr>
        <w:t>方式等的影响，预测“十四五”时期我国职业技能培训供给及需求的</w:t>
      </w:r>
      <w:r>
        <w:rPr>
          <w:rFonts w:ascii="方正仿宋_GBK" w:eastAsia="方正仿宋_GBK" w:hAnsi="方正仿宋_GBK" w:cs="方正仿宋_GBK"/>
          <w:sz w:val="30"/>
          <w:szCs w:val="30"/>
        </w:rPr>
        <w:t>缺口和</w:t>
      </w:r>
      <w:r>
        <w:rPr>
          <w:rFonts w:ascii="方正仿宋_GBK" w:eastAsia="方正仿宋_GBK" w:hAnsi="方正仿宋_GBK" w:cs="方正仿宋_GBK" w:hint="eastAsia"/>
          <w:sz w:val="30"/>
          <w:szCs w:val="30"/>
        </w:rPr>
        <w:t>趋势，研究典型国家或地区的技能发展战略、终身职业技能培训体系建设以及在线</w:t>
      </w:r>
      <w:r>
        <w:rPr>
          <w:rFonts w:ascii="方正仿宋_GBK" w:eastAsia="方正仿宋_GBK" w:hAnsi="方正仿宋_GBK" w:cs="方正仿宋_GBK"/>
          <w:sz w:val="30"/>
          <w:szCs w:val="30"/>
        </w:rPr>
        <w:t>职业技能</w:t>
      </w:r>
      <w:r>
        <w:rPr>
          <w:rFonts w:ascii="方正仿宋_GBK" w:eastAsia="方正仿宋_GBK" w:hAnsi="方正仿宋_GBK" w:cs="方正仿宋_GBK" w:hint="eastAsia"/>
          <w:sz w:val="30"/>
          <w:szCs w:val="30"/>
        </w:rPr>
        <w:t>培训的做法及经验，提出“十四五”时期我国职业技能培训的发展方向、关键任务和改革措施。</w:t>
      </w:r>
    </w:p>
    <w:p w:rsidR="00BD699E" w:rsidRDefault="00444B2A">
      <w:pPr>
        <w:spacing w:line="588" w:lineRule="exact"/>
        <w:ind w:firstLineChars="200" w:firstLine="600"/>
        <w:outlineLvl w:val="0"/>
        <w:rPr>
          <w:rFonts w:ascii="方正黑体_GBK" w:eastAsia="方正黑体_GBK" w:hAnsi="方正黑体_GBK" w:cs="方正黑体_GBK"/>
          <w:bCs/>
          <w:sz w:val="30"/>
          <w:szCs w:val="30"/>
        </w:rPr>
      </w:pPr>
      <w:r>
        <w:rPr>
          <w:rFonts w:ascii="方正黑体_GBK" w:eastAsia="方正黑体_GBK" w:hAnsi="方正黑体_GBK" w:cs="方正黑体_GBK"/>
          <w:bCs/>
          <w:sz w:val="30"/>
          <w:szCs w:val="30"/>
        </w:rPr>
        <w:t>三、</w:t>
      </w:r>
      <w:r>
        <w:rPr>
          <w:rFonts w:ascii="方正黑体_GBK" w:eastAsia="方正黑体_GBK" w:hAnsi="方正黑体_GBK" w:cs="方正黑体_GBK" w:hint="eastAsia"/>
          <w:bCs/>
          <w:sz w:val="30"/>
          <w:szCs w:val="30"/>
        </w:rPr>
        <w:t>“十四五”时期我国职业技能培训基础能力建设研究</w:t>
      </w:r>
    </w:p>
    <w:p w:rsidR="00BD699E" w:rsidRDefault="00444B2A">
      <w:pPr>
        <w:spacing w:line="588" w:lineRule="exact"/>
        <w:ind w:firstLineChars="200" w:firstLine="600"/>
        <w:rPr>
          <w:rFonts w:ascii="方正仿宋_GBK" w:eastAsia="方正仿宋_GBK" w:hAnsi="方正仿宋_GBK" w:cs="方正仿宋_GBK"/>
          <w:sz w:val="30"/>
          <w:szCs w:val="30"/>
        </w:rPr>
      </w:pPr>
      <w:r>
        <w:rPr>
          <w:rFonts w:ascii="方正楷体_GBK" w:eastAsia="方正楷体_GBK" w:hAnsi="方正楷体_GBK" w:cs="方正楷体_GBK" w:hint="eastAsia"/>
          <w:kern w:val="0"/>
          <w:sz w:val="30"/>
          <w:szCs w:val="30"/>
        </w:rPr>
        <w:t>研究要点</w:t>
      </w:r>
      <w:r>
        <w:rPr>
          <w:rFonts w:ascii="方正仿宋_GBK" w:eastAsia="方正仿宋_GBK" w:hAnsi="方正仿宋_GBK" w:cs="方正仿宋_GBK" w:hint="eastAsia"/>
          <w:sz w:val="30"/>
          <w:szCs w:val="30"/>
        </w:rPr>
        <w:t>：分析我国职业技能培训基础能力的现状及存在问题，围绕加快培养</w:t>
      </w:r>
      <w:r>
        <w:rPr>
          <w:rFonts w:ascii="方正仿宋_GBK" w:eastAsia="方正仿宋_GBK" w:hAnsi="方正仿宋_GBK" w:cs="方正仿宋_GBK"/>
          <w:sz w:val="30"/>
          <w:szCs w:val="30"/>
        </w:rPr>
        <w:t>大规模</w:t>
      </w:r>
      <w:r>
        <w:rPr>
          <w:rFonts w:ascii="方正仿宋_GBK" w:eastAsia="方正仿宋_GBK" w:hAnsi="方正仿宋_GBK" w:cs="方正仿宋_GBK" w:hint="eastAsia"/>
          <w:sz w:val="30"/>
          <w:szCs w:val="30"/>
        </w:rPr>
        <w:t>高素质劳动者和技术技能人才，构建劳动者终身职业培训体系，明确“十四五”时期职业技能培训基础能力建设的目标任务</w:t>
      </w:r>
      <w:r>
        <w:rPr>
          <w:rFonts w:ascii="方正仿宋_GBK" w:eastAsia="方正仿宋_GBK" w:hAnsi="方正仿宋_GBK" w:cs="方正仿宋_GBK"/>
          <w:sz w:val="30"/>
          <w:szCs w:val="30"/>
        </w:rPr>
        <w:t>、主要途径</w:t>
      </w:r>
      <w:r>
        <w:rPr>
          <w:rFonts w:ascii="方正仿宋_GBK" w:eastAsia="方正仿宋_GBK" w:hAnsi="方正仿宋_GBK" w:cs="方正仿宋_GBK" w:hint="eastAsia"/>
          <w:sz w:val="30"/>
          <w:szCs w:val="30"/>
        </w:rPr>
        <w:t>，提出培训服务能力建设、师资能力建设</w:t>
      </w:r>
      <w:r>
        <w:rPr>
          <w:rFonts w:ascii="方正仿宋_GBK" w:eastAsia="方正仿宋_GBK" w:hAnsi="方正仿宋_GBK" w:cs="方正仿宋_GBK" w:hint="eastAsia"/>
          <w:sz w:val="30"/>
          <w:szCs w:val="30"/>
        </w:rPr>
        <w:t>、教学资源建设、培训平台建设（包括</w:t>
      </w:r>
      <w:r>
        <w:rPr>
          <w:rFonts w:ascii="方正仿宋_GBK" w:eastAsia="方正仿宋_GBK" w:hAnsi="方正仿宋_GBK" w:cs="方正仿宋_GBK"/>
          <w:sz w:val="30"/>
          <w:szCs w:val="30"/>
        </w:rPr>
        <w:t>线上职业技能培训</w:t>
      </w:r>
      <w:r>
        <w:rPr>
          <w:rFonts w:ascii="方正仿宋_GBK" w:eastAsia="方正仿宋_GBK" w:hAnsi="方正仿宋_GBK" w:cs="方正仿宋_GBK"/>
          <w:sz w:val="30"/>
          <w:szCs w:val="30"/>
        </w:rPr>
        <w:lastRenderedPageBreak/>
        <w:t>平台、</w:t>
      </w:r>
      <w:r>
        <w:rPr>
          <w:rFonts w:ascii="方正仿宋_GBK" w:eastAsia="方正仿宋_GBK" w:hAnsi="方正仿宋_GBK" w:cs="方正仿宋_GBK" w:hint="eastAsia"/>
          <w:sz w:val="30"/>
          <w:szCs w:val="30"/>
        </w:rPr>
        <w:t>公共实训基地</w:t>
      </w:r>
      <w:r>
        <w:rPr>
          <w:rFonts w:ascii="方正仿宋_GBK" w:eastAsia="方正仿宋_GBK" w:hAnsi="方正仿宋_GBK" w:cs="方正仿宋_GBK"/>
          <w:sz w:val="30"/>
          <w:szCs w:val="30"/>
        </w:rPr>
        <w:t>等</w:t>
      </w:r>
      <w:r>
        <w:rPr>
          <w:rFonts w:ascii="方正仿宋_GBK" w:eastAsia="方正仿宋_GBK" w:hAnsi="方正仿宋_GBK" w:cs="方正仿宋_GBK" w:hint="eastAsia"/>
          <w:sz w:val="30"/>
          <w:szCs w:val="30"/>
        </w:rPr>
        <w:t>）的主要任务和重大举措。</w:t>
      </w:r>
    </w:p>
    <w:p w:rsidR="00BD699E" w:rsidRDefault="00444B2A">
      <w:pPr>
        <w:spacing w:line="588" w:lineRule="exact"/>
        <w:ind w:firstLineChars="200" w:firstLine="600"/>
        <w:rPr>
          <w:rFonts w:ascii="Times New Roman" w:eastAsia="方正黑体_GBK" w:hAnsi="Times New Roman" w:cs="方正黑体_GBK"/>
          <w:sz w:val="30"/>
          <w:szCs w:val="30"/>
        </w:rPr>
      </w:pPr>
      <w:r>
        <w:rPr>
          <w:rFonts w:ascii="Times New Roman" w:eastAsia="方正黑体_GBK" w:hAnsi="Times New Roman" w:cs="方正黑体_GBK"/>
          <w:sz w:val="30"/>
          <w:szCs w:val="30"/>
        </w:rPr>
        <w:t>四、</w:t>
      </w:r>
      <w:r>
        <w:rPr>
          <w:rFonts w:ascii="方正黑体_GBK" w:eastAsia="方正黑体_GBK" w:hAnsi="方正黑体_GBK" w:cs="方正黑体_GBK" w:hint="eastAsia"/>
          <w:sz w:val="30"/>
          <w:szCs w:val="30"/>
        </w:rPr>
        <w:t>“十四五”时期区</w:t>
      </w:r>
      <w:r>
        <w:rPr>
          <w:rFonts w:ascii="Times New Roman" w:eastAsia="方正黑体_GBK" w:hAnsi="Times New Roman" w:cs="方正黑体_GBK"/>
          <w:sz w:val="30"/>
          <w:szCs w:val="30"/>
        </w:rPr>
        <w:t>域发展战略框架下的职业技能提升行动研究</w:t>
      </w:r>
    </w:p>
    <w:p w:rsidR="00BD699E" w:rsidRDefault="00444B2A">
      <w:pPr>
        <w:spacing w:line="588" w:lineRule="exact"/>
        <w:ind w:firstLineChars="200" w:firstLine="600"/>
        <w:rPr>
          <w:rFonts w:ascii="Times New Roman" w:eastAsia="方正仿宋_GBK" w:hAnsi="Times New Roman" w:cs="方正仿宋_GBK"/>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贯彻落实党中央、国务院关于实现更高质量和更充分就业，推行终身职业技能培训制度的决策部署，结合京津冀一体化、长江经济带、粤港澳大湾区等区域发展战略要求，梳理当前职业技能培训的发展现状和存在问题，从理论分析、地方经验、国际比较等角度，总结区域发展战略框架下的职业技能提升典型模式，研</w:t>
      </w:r>
      <w:r>
        <w:rPr>
          <w:rFonts w:ascii="方正仿宋_GBK" w:eastAsia="方正仿宋_GBK" w:hAnsi="方正仿宋_GBK" w:cs="方正仿宋_GBK" w:hint="eastAsia"/>
          <w:sz w:val="30"/>
          <w:szCs w:val="30"/>
        </w:rPr>
        <w:t>究提出“十四五”时</w:t>
      </w:r>
      <w:r>
        <w:rPr>
          <w:rFonts w:ascii="Times New Roman" w:eastAsia="方正仿宋_GBK" w:hAnsi="Times New Roman" w:cs="方正仿宋_GBK"/>
          <w:sz w:val="30"/>
          <w:szCs w:val="30"/>
        </w:rPr>
        <w:t>期开展职业技能提升行动的政策建议。</w:t>
      </w:r>
    </w:p>
    <w:p w:rsidR="00BD699E" w:rsidRDefault="00444B2A">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五、</w:t>
      </w:r>
      <w:r>
        <w:rPr>
          <w:rFonts w:ascii="方正黑体_GBK" w:eastAsia="方正黑体_GBK" w:hAnsi="方正黑体_GBK" w:cs="方正黑体_GBK" w:hint="eastAsia"/>
          <w:sz w:val="30"/>
          <w:szCs w:val="30"/>
        </w:rPr>
        <w:t>就业收入消费社保信息共享和大数据监测分析</w:t>
      </w:r>
    </w:p>
    <w:p w:rsidR="00BD699E" w:rsidRDefault="00444B2A">
      <w:pPr>
        <w:spacing w:line="588" w:lineRule="exact"/>
        <w:ind w:firstLineChars="200" w:firstLine="600"/>
        <w:rPr>
          <w:rFonts w:ascii="Times New Roman" w:eastAsia="方正仿宋_GBK" w:hAnsi="Times New Roman" w:cs="方正仿宋_GBK"/>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：应对新冠肺炎疫情影响，积极探索开展</w:t>
      </w:r>
      <w:r>
        <w:rPr>
          <w:rFonts w:ascii="Times New Roman" w:eastAsia="方正仿宋_GBK" w:hAnsi="Times New Roman" w:cs="方正仿宋_GBK" w:hint="eastAsia"/>
          <w:sz w:val="30"/>
          <w:szCs w:val="30"/>
        </w:rPr>
        <w:t>稳就业、增收入、</w:t>
      </w:r>
      <w:r>
        <w:rPr>
          <w:rFonts w:ascii="Times New Roman" w:eastAsia="方正仿宋_GBK" w:hAnsi="Times New Roman" w:cs="方正仿宋_GBK"/>
          <w:sz w:val="30"/>
          <w:szCs w:val="30"/>
        </w:rPr>
        <w:t>促</w:t>
      </w:r>
      <w:r>
        <w:rPr>
          <w:rFonts w:ascii="Times New Roman" w:eastAsia="方正仿宋_GBK" w:hAnsi="Times New Roman" w:cs="方正仿宋_GBK" w:hint="eastAsia"/>
          <w:sz w:val="30"/>
          <w:szCs w:val="30"/>
        </w:rPr>
        <w:t>消费、强社保</w:t>
      </w:r>
      <w:r>
        <w:rPr>
          <w:rFonts w:ascii="Times New Roman" w:eastAsia="方正仿宋_GBK" w:hAnsi="Times New Roman" w:cs="方正仿宋_GBK"/>
          <w:sz w:val="30"/>
          <w:szCs w:val="30"/>
        </w:rPr>
        <w:t>等</w:t>
      </w:r>
      <w:r>
        <w:rPr>
          <w:rFonts w:ascii="Times New Roman" w:eastAsia="方正仿宋_GBK" w:hAnsi="Times New Roman" w:cs="方正仿宋_GBK" w:hint="eastAsia"/>
          <w:sz w:val="30"/>
          <w:szCs w:val="30"/>
        </w:rPr>
        <w:t>领域</w:t>
      </w:r>
      <w:r>
        <w:rPr>
          <w:rFonts w:ascii="Times New Roman" w:eastAsia="方正仿宋_GBK" w:hAnsi="Times New Roman" w:cs="方正仿宋_GBK"/>
          <w:sz w:val="30"/>
          <w:szCs w:val="30"/>
        </w:rPr>
        <w:t>形势分析研判，推动就业收入</w:t>
      </w:r>
      <w:r>
        <w:rPr>
          <w:rFonts w:ascii="Times New Roman" w:eastAsia="方正仿宋_GBK" w:hAnsi="Times New Roman" w:cs="方正仿宋_GBK" w:hint="eastAsia"/>
          <w:sz w:val="30"/>
          <w:szCs w:val="30"/>
        </w:rPr>
        <w:t>消费</w:t>
      </w:r>
      <w:r>
        <w:rPr>
          <w:rFonts w:ascii="Times New Roman" w:eastAsia="方正仿宋_GBK" w:hAnsi="Times New Roman" w:cs="方正仿宋_GBK"/>
          <w:sz w:val="30"/>
          <w:szCs w:val="30"/>
        </w:rPr>
        <w:t>社保信息共享和大数据监测分析，总结相关领域典型经验和做法，努力形成典型模式，研究提出政策建议。</w:t>
      </w:r>
    </w:p>
    <w:p w:rsidR="00BD699E" w:rsidRDefault="00444B2A">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六、</w:t>
      </w:r>
      <w:r>
        <w:rPr>
          <w:rFonts w:ascii="方正黑体_GBK" w:eastAsia="方正黑体_GBK" w:hAnsi="方正黑体_GBK" w:cs="方正黑体_GBK" w:hint="eastAsia"/>
          <w:sz w:val="30"/>
          <w:szCs w:val="30"/>
        </w:rPr>
        <w:t>“十四五”时期稳定就业总量、改善就业结构、提升就业质量的重点任务、重大政策和重要措施研究</w:t>
      </w:r>
    </w:p>
    <w:p w:rsidR="00BD699E" w:rsidRDefault="00444B2A">
      <w:pPr>
        <w:spacing w:line="588" w:lineRule="exact"/>
        <w:ind w:firstLineChars="200" w:firstLine="600"/>
        <w:rPr>
          <w:rFonts w:ascii="Times New Roman" w:eastAsia="方正仿宋_GBK" w:hAnsi="Times New Roman" w:cs="Times New Roman"/>
          <w:color w:val="000000"/>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w:t>
      </w:r>
      <w:r>
        <w:rPr>
          <w:rFonts w:ascii="Times New Roman" w:eastAsia="方正仿宋_GBK" w:hAnsi="Times New Roman" w:cs="Times New Roman" w:hint="eastAsia"/>
          <w:sz w:val="30"/>
          <w:szCs w:val="30"/>
        </w:rPr>
        <w:t>服务于“十四五”就业促进国家级重点规划，</w:t>
      </w:r>
      <w:r>
        <w:rPr>
          <w:rFonts w:ascii="Times New Roman" w:eastAsia="方正仿宋_GBK" w:hAnsi="Times New Roman" w:cs="Times New Roman"/>
          <w:sz w:val="30"/>
          <w:szCs w:val="30"/>
        </w:rPr>
        <w:t>从</w:t>
      </w:r>
      <w:r>
        <w:rPr>
          <w:rFonts w:ascii="Times New Roman" w:eastAsia="方正仿宋_GBK" w:hAnsi="Times New Roman" w:cs="Times New Roman" w:hint="eastAsia"/>
          <w:sz w:val="30"/>
          <w:szCs w:val="30"/>
        </w:rPr>
        <w:t>提升经济发展拉动就业能力、</w:t>
      </w:r>
      <w:r>
        <w:rPr>
          <w:rFonts w:ascii="方正仿宋_GBK" w:eastAsia="方正仿宋_GBK" w:hAnsi="方正仿宋_GBK" w:cs="方正仿宋_GBK" w:hint="eastAsia"/>
          <w:sz w:val="30"/>
          <w:szCs w:val="30"/>
        </w:rPr>
        <w:t>发展壮大就业新动能、</w:t>
      </w:r>
      <w:r>
        <w:rPr>
          <w:rFonts w:ascii="Times New Roman" w:eastAsia="方正仿宋_GBK" w:hAnsi="Times New Roman" w:cs="Times New Roman"/>
          <w:sz w:val="30"/>
          <w:szCs w:val="30"/>
        </w:rPr>
        <w:t>提高重点地区就业承载力</w:t>
      </w:r>
      <w:r>
        <w:rPr>
          <w:rFonts w:ascii="Times New Roman" w:eastAsia="方正仿宋_GBK" w:hAnsi="Times New Roman" w:cs="Times New Roman" w:hint="eastAsia"/>
          <w:sz w:val="30"/>
          <w:szCs w:val="30"/>
        </w:rPr>
        <w:t>、</w:t>
      </w:r>
      <w:r>
        <w:rPr>
          <w:rFonts w:ascii="方正仿宋_GBK" w:eastAsia="方正仿宋_GBK" w:hAnsi="方正仿宋_GBK" w:cs="方正仿宋_GBK" w:hint="eastAsia"/>
          <w:sz w:val="30"/>
          <w:szCs w:val="30"/>
        </w:rPr>
        <w:t>促进创业带动就业、</w:t>
      </w:r>
      <w:r>
        <w:rPr>
          <w:rFonts w:ascii="方正仿宋_GBK" w:eastAsia="方正仿宋_GBK" w:hAnsi="方正仿宋_GBK" w:cs="方正仿宋_GBK" w:hint="eastAsia"/>
          <w:sz w:val="30"/>
          <w:szCs w:val="30"/>
        </w:rPr>
        <w:t>加快建设适应现代化经济体系的高素质</w:t>
      </w:r>
      <w:r>
        <w:rPr>
          <w:rFonts w:ascii="Times New Roman" w:eastAsia="方正仿宋_GBK" w:hAnsi="Times New Roman" w:cs="Times New Roman" w:hint="eastAsia"/>
          <w:sz w:val="30"/>
          <w:szCs w:val="30"/>
        </w:rPr>
        <w:t>劳动者队伍、加强劳动力市场建设、提升和改善就业服务、稳定和促进重点群体就业、应对国内外重大挑战、防范和化解规模性失业风险</w:t>
      </w:r>
      <w:r>
        <w:rPr>
          <w:rFonts w:ascii="Times New Roman" w:eastAsia="方正仿宋_GBK" w:hAnsi="Times New Roman" w:cs="Times New Roman"/>
          <w:sz w:val="30"/>
          <w:szCs w:val="30"/>
        </w:rPr>
        <w:t>等方面，</w:t>
      </w:r>
      <w:r>
        <w:rPr>
          <w:rFonts w:ascii="Times New Roman" w:eastAsia="方正仿宋_GBK" w:hAnsi="Times New Roman" w:cs="Times New Roman"/>
          <w:sz w:val="30"/>
          <w:szCs w:val="30"/>
        </w:rPr>
        <w:t>研究提出</w:t>
      </w:r>
      <w:r>
        <w:rPr>
          <w:rFonts w:ascii="Times New Roman" w:eastAsia="方正仿宋_GBK" w:hAnsi="Times New Roman" w:cs="Times New Roman" w:hint="eastAsia"/>
          <w:sz w:val="30"/>
          <w:szCs w:val="30"/>
        </w:rPr>
        <w:t>纳入</w:t>
      </w:r>
      <w:r>
        <w:rPr>
          <w:rFonts w:ascii="方正仿宋_GBK" w:eastAsia="方正仿宋_GBK" w:hAnsi="方正仿宋_GBK" w:cs="方正仿宋_GBK" w:hint="eastAsia"/>
          <w:sz w:val="30"/>
          <w:szCs w:val="30"/>
        </w:rPr>
        <w:t>“十四五”</w:t>
      </w:r>
      <w:r>
        <w:rPr>
          <w:rFonts w:ascii="Times New Roman" w:eastAsia="方正仿宋_GBK" w:hAnsi="Times New Roman" w:cs="Times New Roman" w:hint="eastAsia"/>
          <w:sz w:val="30"/>
          <w:szCs w:val="30"/>
        </w:rPr>
        <w:t>就业促进规划</w:t>
      </w:r>
      <w:r>
        <w:rPr>
          <w:rFonts w:ascii="Times New Roman" w:eastAsia="方正仿宋_GBK" w:hAnsi="Times New Roman" w:cs="Times New Roman" w:hint="eastAsia"/>
          <w:sz w:val="30"/>
          <w:szCs w:val="30"/>
        </w:rPr>
        <w:lastRenderedPageBreak/>
        <w:t>的</w:t>
      </w:r>
      <w:r>
        <w:rPr>
          <w:rFonts w:ascii="方正仿宋_GBK" w:eastAsia="方正仿宋_GBK" w:hAnsi="方正仿宋_GBK" w:cs="方正仿宋_GBK" w:hint="eastAsia"/>
          <w:color w:val="000000"/>
          <w:sz w:val="30"/>
          <w:szCs w:val="30"/>
        </w:rPr>
        <w:t>重点任务、重大政策和重要措施考虑</w:t>
      </w:r>
      <w:r>
        <w:rPr>
          <w:rFonts w:ascii="Times New Roman" w:eastAsia="方正仿宋_GBK" w:hAnsi="Times New Roman" w:cs="Times New Roman"/>
          <w:color w:val="000000"/>
          <w:sz w:val="30"/>
          <w:szCs w:val="30"/>
        </w:rPr>
        <w:t>。</w:t>
      </w:r>
    </w:p>
    <w:p w:rsidR="00BD699E" w:rsidRDefault="00444B2A">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七、</w:t>
      </w:r>
      <w:r>
        <w:rPr>
          <w:rFonts w:ascii="方正黑体_GBK" w:eastAsia="方正黑体_GBK" w:hAnsi="方正黑体_GBK" w:cs="方正黑体_GBK" w:hint="eastAsia"/>
          <w:sz w:val="30"/>
          <w:szCs w:val="30"/>
        </w:rPr>
        <w:t>“十四五”时期加强人力资源市场体系建设、促进重点群体就业的重点举措</w:t>
      </w:r>
    </w:p>
    <w:p w:rsidR="00BD699E" w:rsidRDefault="00444B2A">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w:t>
      </w:r>
      <w:r>
        <w:rPr>
          <w:rFonts w:ascii="Times New Roman" w:eastAsia="方正仿宋_GBK" w:hAnsi="Times New Roman" w:cs="Times New Roman" w:hint="eastAsia"/>
          <w:sz w:val="30"/>
          <w:szCs w:val="30"/>
        </w:rPr>
        <w:t>从</w:t>
      </w:r>
      <w:r>
        <w:rPr>
          <w:rFonts w:ascii="Times New Roman" w:eastAsia="方正仿宋_GBK" w:hAnsi="Times New Roman" w:cs="Times New Roman" w:hint="eastAsia"/>
          <w:sz w:val="30"/>
          <w:szCs w:val="30"/>
        </w:rPr>
        <w:t>建设</w:t>
      </w:r>
      <w:r>
        <w:rPr>
          <w:rFonts w:ascii="Times New Roman" w:eastAsia="方正仿宋_GBK" w:hAnsi="Times New Roman" w:cs="Times New Roman" w:hint="eastAsia"/>
          <w:sz w:val="30"/>
          <w:szCs w:val="30"/>
        </w:rPr>
        <w:t>更加统一开放、竞争有序的人力资源市场体系，提升劳动力市场匹配效率，健全就业创业服务保障机制，强化人才培养培训，</w:t>
      </w:r>
      <w:r>
        <w:rPr>
          <w:rFonts w:ascii="Times New Roman" w:eastAsia="方正仿宋_GBK" w:hAnsi="Times New Roman" w:cs="Times New Roman" w:hint="eastAsia"/>
          <w:sz w:val="30"/>
          <w:szCs w:val="30"/>
        </w:rPr>
        <w:t>促进高校毕业生、农民工、退役军人、就业困难人员、残疾人、妇女等重点群体、困难群体、特殊群体就业以及消除就业歧视、构建和谐劳动关系</w:t>
      </w:r>
      <w:r>
        <w:rPr>
          <w:rFonts w:ascii="Times New Roman" w:eastAsia="方正仿宋_GBK" w:hAnsi="Times New Roman" w:cs="Times New Roman" w:hint="eastAsia"/>
          <w:sz w:val="30"/>
          <w:szCs w:val="30"/>
        </w:rPr>
        <w:t>等方面，</w:t>
      </w:r>
      <w:r>
        <w:rPr>
          <w:rFonts w:ascii="Times New Roman" w:eastAsia="方正仿宋_GBK" w:hAnsi="Times New Roman" w:cs="Times New Roman"/>
          <w:sz w:val="30"/>
          <w:szCs w:val="30"/>
        </w:rPr>
        <w:t>研究提出</w:t>
      </w:r>
      <w:r>
        <w:rPr>
          <w:rFonts w:ascii="方正仿宋_GBK" w:eastAsia="方正仿宋_GBK" w:hAnsi="方正仿宋_GBK" w:cs="方正仿宋_GBK" w:hint="eastAsia"/>
          <w:sz w:val="30"/>
          <w:szCs w:val="30"/>
        </w:rPr>
        <w:t>“十四五”</w:t>
      </w:r>
      <w:r>
        <w:rPr>
          <w:rFonts w:ascii="Times New Roman" w:eastAsia="方正仿宋_GBK" w:hAnsi="Times New Roman" w:cs="Times New Roman"/>
          <w:sz w:val="30"/>
          <w:szCs w:val="30"/>
        </w:rPr>
        <w:t>时期</w:t>
      </w:r>
      <w:r>
        <w:rPr>
          <w:rFonts w:ascii="Times New Roman" w:eastAsia="方正仿宋_GBK" w:hAnsi="Times New Roman" w:cs="Times New Roman" w:hint="eastAsia"/>
          <w:sz w:val="30"/>
          <w:szCs w:val="30"/>
        </w:rPr>
        <w:t>的重点举措。</w:t>
      </w:r>
    </w:p>
    <w:p w:rsidR="00BD699E" w:rsidRDefault="00444B2A">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八、</w:t>
      </w:r>
      <w:r>
        <w:rPr>
          <w:rFonts w:ascii="方正黑体_GBK" w:eastAsia="方正黑体_GBK" w:hAnsi="方正黑体_GBK" w:cs="方正黑体_GBK" w:hint="eastAsia"/>
          <w:sz w:val="30"/>
          <w:szCs w:val="30"/>
        </w:rPr>
        <w:t>“十四五”时期提升应对国内外风险能力稳定和</w:t>
      </w:r>
      <w:r>
        <w:rPr>
          <w:rFonts w:ascii="方正黑体_GBK" w:eastAsia="方正黑体_GBK" w:hAnsi="方正黑体_GBK" w:cs="方正黑体_GBK"/>
          <w:sz w:val="30"/>
          <w:szCs w:val="30"/>
        </w:rPr>
        <w:t>促进</w:t>
      </w:r>
      <w:r>
        <w:rPr>
          <w:rFonts w:ascii="方正黑体_GBK" w:eastAsia="方正黑体_GBK" w:hAnsi="方正黑体_GBK" w:cs="方正黑体_GBK" w:hint="eastAsia"/>
          <w:sz w:val="30"/>
          <w:szCs w:val="30"/>
        </w:rPr>
        <w:t>就业的重点举措</w:t>
      </w:r>
    </w:p>
    <w:p w:rsidR="00BD699E" w:rsidRDefault="00444B2A">
      <w:pPr>
        <w:spacing w:line="588" w:lineRule="exact"/>
        <w:ind w:firstLineChars="200" w:firstLine="600"/>
        <w:rPr>
          <w:rFonts w:ascii="方正仿宋_GBK" w:eastAsia="方正仿宋_GBK" w:hAnsi="方正仿宋_GBK" w:cs="方正仿宋_GBK"/>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十四五</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时期，我国内外部面临的风险和挑战日益增多，提升应对风险能力迫在眉捷。</w:t>
      </w:r>
      <w:r>
        <w:rPr>
          <w:rFonts w:ascii="方正仿宋_GBK" w:eastAsia="方正仿宋_GBK" w:hAnsi="方正仿宋_GBK" w:cs="方正仿宋_GBK" w:hint="eastAsia"/>
          <w:sz w:val="30"/>
          <w:szCs w:val="30"/>
        </w:rPr>
        <w:t>从统计分析、监测预警、政策协同、资金保障、</w:t>
      </w:r>
      <w:r>
        <w:rPr>
          <w:rFonts w:ascii="方正仿宋_GBK" w:eastAsia="方正仿宋_GBK" w:hAnsi="方正仿宋_GBK" w:cs="方正仿宋_GBK" w:hint="eastAsia"/>
          <w:sz w:val="30"/>
          <w:szCs w:val="30"/>
        </w:rPr>
        <w:t>政企联动</w:t>
      </w:r>
      <w:r>
        <w:rPr>
          <w:rFonts w:ascii="方正仿宋_GBK" w:eastAsia="方正仿宋_GBK" w:hAnsi="方正仿宋_GBK" w:cs="方正仿宋_GBK" w:hint="eastAsia"/>
          <w:sz w:val="30"/>
          <w:szCs w:val="30"/>
        </w:rPr>
        <w:t>等方面，研究提出</w:t>
      </w:r>
      <w:r>
        <w:rPr>
          <w:rFonts w:ascii="方正仿宋_GBK" w:eastAsia="方正仿宋_GBK" w:hAnsi="方正仿宋_GBK" w:cs="方正仿宋_GBK" w:hint="eastAsia"/>
          <w:sz w:val="30"/>
          <w:szCs w:val="30"/>
        </w:rPr>
        <w:t>提升应对国内外风险能力防范化解规模性失业风险的重点举措。</w:t>
      </w:r>
    </w:p>
    <w:p w:rsidR="00BD699E" w:rsidRDefault="00444B2A">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九、</w:t>
      </w:r>
      <w:r>
        <w:rPr>
          <w:rFonts w:ascii="方正黑体_GBK" w:eastAsia="方正黑体_GBK" w:hAnsi="方正黑体_GBK" w:cs="方正黑体_GBK" w:hint="eastAsia"/>
          <w:sz w:val="30"/>
          <w:szCs w:val="30"/>
        </w:rPr>
        <w:t>当前和今后一段时期健全有利于更充分更高质量就业的促进机制研究。</w:t>
      </w:r>
    </w:p>
    <w:p w:rsidR="00BD699E" w:rsidRDefault="00444B2A">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：党的十九届四中全会明确提出</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健全有利于更充分更高质量就业的促进机制</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。深入研判当前和今后一段时期就业领域面临的主要矛盾和突出问题，</w:t>
      </w:r>
      <w:r>
        <w:rPr>
          <w:rFonts w:ascii="方正仿宋_GBK" w:eastAsia="方正仿宋_GBK" w:hAnsi="方正仿宋_GBK" w:cs="方正仿宋_GBK" w:hint="eastAsia"/>
          <w:sz w:val="30"/>
          <w:szCs w:val="30"/>
        </w:rPr>
        <w:t>研究提出未来五年稳定和</w:t>
      </w:r>
      <w:r>
        <w:rPr>
          <w:rFonts w:ascii="Times New Roman" w:eastAsia="方正仿宋_GBK" w:hAnsi="Times New Roman" w:cs="Times New Roman"/>
          <w:sz w:val="30"/>
          <w:szCs w:val="30"/>
        </w:rPr>
        <w:t>促进就业的主要目标、</w:t>
      </w:r>
      <w:r>
        <w:rPr>
          <w:rFonts w:ascii="Times New Roman" w:eastAsia="方正仿宋_GBK" w:hAnsi="Times New Roman" w:cs="Times New Roman" w:hint="eastAsia"/>
          <w:sz w:val="30"/>
          <w:szCs w:val="30"/>
        </w:rPr>
        <w:t>基本原则、</w:t>
      </w:r>
      <w:r>
        <w:rPr>
          <w:rFonts w:ascii="Times New Roman" w:eastAsia="方正仿宋_GBK" w:hAnsi="Times New Roman" w:cs="Times New Roman"/>
          <w:sz w:val="30"/>
          <w:szCs w:val="30"/>
        </w:rPr>
        <w:t>重点</w:t>
      </w:r>
      <w:r>
        <w:rPr>
          <w:rFonts w:ascii="Times New Roman" w:eastAsia="方正仿宋_GBK" w:hAnsi="Times New Roman" w:cs="Times New Roman" w:hint="eastAsia"/>
          <w:sz w:val="30"/>
          <w:szCs w:val="30"/>
        </w:rPr>
        <w:t>举措</w:t>
      </w:r>
      <w:r>
        <w:rPr>
          <w:rFonts w:ascii="Times New Roman" w:eastAsia="方正仿宋_GBK" w:hAnsi="Times New Roman" w:cs="Times New Roman"/>
          <w:sz w:val="30"/>
          <w:szCs w:val="30"/>
        </w:rPr>
        <w:t>和保障措施</w:t>
      </w:r>
      <w:r>
        <w:rPr>
          <w:rFonts w:ascii="Times New Roman" w:eastAsia="方正仿宋_GBK" w:hAnsi="Times New Roman" w:cs="Times New Roman" w:hint="eastAsia"/>
          <w:sz w:val="30"/>
          <w:szCs w:val="30"/>
        </w:rPr>
        <w:t>。</w:t>
      </w:r>
    </w:p>
    <w:p w:rsidR="00BD699E" w:rsidRDefault="00444B2A">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十、</w:t>
      </w:r>
      <w:r>
        <w:rPr>
          <w:rFonts w:ascii="方正黑体_GBK" w:eastAsia="方正黑体_GBK" w:hAnsi="方正黑体_GBK" w:cs="方正黑体_GBK" w:hint="eastAsia"/>
          <w:sz w:val="30"/>
          <w:szCs w:val="30"/>
        </w:rPr>
        <w:t>返乡入乡创业典型案例调查研究及资料汇编。</w:t>
      </w:r>
    </w:p>
    <w:p w:rsidR="00BD699E" w:rsidRDefault="00444B2A">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：当前返乡入乡创业蓬勃发展，越来越多农民工等</w:t>
      </w:r>
      <w:r>
        <w:rPr>
          <w:rFonts w:ascii="Times New Roman" w:eastAsia="方正仿宋_GBK" w:hAnsi="Times New Roman" w:cs="方正仿宋_GBK"/>
          <w:sz w:val="30"/>
          <w:szCs w:val="30"/>
        </w:rPr>
        <w:lastRenderedPageBreak/>
        <w:t>人员返乡入乡创新创业，对稳定和扩大就业发挥了重要的带动作用。</w:t>
      </w:r>
      <w:r>
        <w:rPr>
          <w:rFonts w:ascii="Times New Roman" w:eastAsia="方正仿宋_GBK" w:hAnsi="Times New Roman" w:cs="Times New Roman" w:hint="eastAsia"/>
          <w:sz w:val="30"/>
          <w:szCs w:val="30"/>
        </w:rPr>
        <w:t>梳理总结、系统研究近年来返乡入乡创业的典型经验和案例，深入研判存在的主要问题，提出未来五年促进返乡入乡创业高质量发展的重大举措。</w:t>
      </w:r>
    </w:p>
    <w:p w:rsidR="00BD699E" w:rsidRDefault="00444B2A">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十一、</w:t>
      </w:r>
      <w:r>
        <w:rPr>
          <w:rFonts w:ascii="方正黑体_GBK" w:eastAsia="方正黑体_GBK" w:hAnsi="方正黑体_GBK" w:cs="方正黑体_GBK" w:hint="eastAsia"/>
          <w:sz w:val="30"/>
          <w:szCs w:val="30"/>
        </w:rPr>
        <w:t>“十四五”时期促进农民工就业的重大举措。</w:t>
      </w:r>
    </w:p>
    <w:p w:rsidR="00BD699E" w:rsidRDefault="00444B2A">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：农民工作为重点群体之一，其就业状况在一定程度上对就业总体形势有重大影响。深入研判当前和今后一段时期农民工就业面临的主要矛盾和突出问题，</w:t>
      </w:r>
      <w:r>
        <w:rPr>
          <w:rFonts w:ascii="方正仿宋_GBK" w:eastAsia="方正仿宋_GBK" w:hAnsi="方正仿宋_GBK" w:cs="方正仿宋_GBK" w:hint="eastAsia"/>
          <w:sz w:val="30"/>
          <w:szCs w:val="30"/>
        </w:rPr>
        <w:t>研究提出</w:t>
      </w:r>
      <w:r>
        <w:rPr>
          <w:rFonts w:ascii="方正仿宋_GBK" w:eastAsia="方正仿宋_GBK" w:hAnsi="方正仿宋_GBK" w:cs="方正仿宋_GBK"/>
          <w:sz w:val="30"/>
          <w:szCs w:val="30"/>
        </w:rPr>
        <w:t>“</w:t>
      </w:r>
      <w:r>
        <w:rPr>
          <w:rFonts w:ascii="Times New Roman" w:eastAsia="方正仿宋_GBK" w:hAnsi="Times New Roman" w:cs="Times New Roman" w:hint="eastAsia"/>
          <w:sz w:val="30"/>
          <w:szCs w:val="30"/>
        </w:rPr>
        <w:t>十四五”时期促进农民工就业的总体目标、主要任务和重大项目设计。</w:t>
      </w:r>
    </w:p>
    <w:p w:rsidR="00BD699E" w:rsidRDefault="00444B2A">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十二、</w:t>
      </w:r>
      <w:r>
        <w:rPr>
          <w:rFonts w:ascii="方正黑体_GBK" w:eastAsia="方正黑体_GBK" w:hAnsi="方正黑体_GBK" w:cs="方正黑体_GBK" w:hint="eastAsia"/>
          <w:sz w:val="30"/>
          <w:szCs w:val="30"/>
        </w:rPr>
        <w:t>就业优先置于宏观政策层面的方法论和路线图研究。</w:t>
      </w:r>
    </w:p>
    <w:p w:rsidR="00BD699E" w:rsidRDefault="00444B2A">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2019</w:t>
      </w:r>
      <w:r>
        <w:rPr>
          <w:rFonts w:ascii="Times New Roman" w:eastAsia="方正仿宋_GBK" w:hAnsi="Times New Roman" w:cs="方正仿宋_GBK"/>
          <w:sz w:val="30"/>
          <w:szCs w:val="30"/>
        </w:rPr>
        <w:t>年政府工作报告首次将就业优先政策置于宏观政策</w:t>
      </w:r>
      <w:r>
        <w:rPr>
          <w:rFonts w:ascii="Times New Roman" w:eastAsia="方正仿宋_GBK" w:hAnsi="Times New Roman" w:cs="方正仿宋_GBK"/>
          <w:sz w:val="30"/>
          <w:szCs w:val="30"/>
        </w:rPr>
        <w:t>层面。深入研判当前就业优先政策体系存在的主要问题，</w:t>
      </w:r>
      <w:r>
        <w:rPr>
          <w:rFonts w:ascii="Times New Roman" w:eastAsia="方正仿宋_GBK" w:hAnsi="Times New Roman" w:cs="Times New Roman" w:hint="eastAsia"/>
          <w:sz w:val="30"/>
          <w:szCs w:val="30"/>
        </w:rPr>
        <w:t>研究提出将就业优先政策置于宏观政策层面、完善就业优先政策体系</w:t>
      </w:r>
      <w:r>
        <w:rPr>
          <w:rFonts w:ascii="Times New Roman" w:eastAsia="方正仿宋_GBK" w:hAnsi="Times New Roman" w:cs="Times New Roman"/>
          <w:sz w:val="30"/>
          <w:szCs w:val="30"/>
        </w:rPr>
        <w:t>、规划体系、指标体系和项目体系的</w:t>
      </w:r>
      <w:r>
        <w:rPr>
          <w:rFonts w:ascii="Times New Roman" w:eastAsia="方正仿宋_GBK" w:hAnsi="Times New Roman" w:cs="Times New Roman" w:hint="eastAsia"/>
          <w:sz w:val="30"/>
          <w:szCs w:val="30"/>
        </w:rPr>
        <w:t>具体举措和实现路径并加以论证。</w:t>
      </w:r>
    </w:p>
    <w:p w:rsidR="00BD699E" w:rsidRDefault="00444B2A">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十三、</w:t>
      </w:r>
      <w:r>
        <w:rPr>
          <w:rFonts w:ascii="方正黑体_GBK" w:eastAsia="方正黑体_GBK" w:hAnsi="方正黑体_GBK" w:cs="方正黑体_GBK" w:hint="eastAsia"/>
          <w:sz w:val="30"/>
          <w:szCs w:val="30"/>
        </w:rPr>
        <w:t>“十四五”时期优化国民收入分配格局问题研究</w:t>
      </w:r>
    </w:p>
    <w:p w:rsidR="00BD699E" w:rsidRDefault="00444B2A">
      <w:pPr>
        <w:spacing w:line="588" w:lineRule="exact"/>
        <w:ind w:firstLineChars="200" w:firstLine="600"/>
        <w:rPr>
          <w:rFonts w:ascii="Times New Roman" w:eastAsia="方正仿宋_GBK" w:hAnsi="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hint="eastAsia"/>
          <w:sz w:val="30"/>
          <w:szCs w:val="30"/>
        </w:rPr>
        <w:t>2020</w:t>
      </w:r>
      <w:r>
        <w:rPr>
          <w:rFonts w:ascii="Times New Roman" w:eastAsia="方正仿宋_GBK" w:hAnsi="Times New Roman" w:hint="eastAsia"/>
          <w:sz w:val="30"/>
          <w:szCs w:val="30"/>
        </w:rPr>
        <w:t>年是“两个一百年”奋斗目标的历史交汇点，在全面建成小康社会和“十三五”规划收官基础上，需乘势而上开启全面建设社会主义现代化国家新征程，向第二个百年奋斗目标进军。应系统梳理我国近年来收入分配基本情况、收入分配制度建设情况及进展成效，分析存在问题和成因，并结合党的十九届四中全会有关决策部署，分析未来趋势，面临的机遇和挑战，提出“十四五”乃至今后一段时期</w:t>
      </w:r>
      <w:r>
        <w:rPr>
          <w:rFonts w:ascii="Times New Roman" w:eastAsia="方正仿宋_GBK" w:hAnsi="Times New Roman"/>
          <w:sz w:val="30"/>
          <w:szCs w:val="30"/>
        </w:rPr>
        <w:t>优化</w:t>
      </w:r>
      <w:r>
        <w:rPr>
          <w:rFonts w:ascii="Times New Roman" w:eastAsia="方正仿宋_GBK" w:hAnsi="Times New Roman" w:hint="eastAsia"/>
          <w:sz w:val="30"/>
          <w:szCs w:val="30"/>
        </w:rPr>
        <w:t>国民收入分配格局的政策建议。</w:t>
      </w:r>
    </w:p>
    <w:p w:rsidR="00BD699E" w:rsidRDefault="00444B2A">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lastRenderedPageBreak/>
        <w:t>十四、</w:t>
      </w:r>
      <w:r>
        <w:rPr>
          <w:rFonts w:ascii="方正黑体_GBK" w:eastAsia="方正黑体_GBK" w:hAnsi="方正黑体_GBK" w:cs="方正黑体_GBK" w:hint="eastAsia"/>
          <w:sz w:val="30"/>
          <w:szCs w:val="30"/>
        </w:rPr>
        <w:t>健全各类生产要素由市场评价贡献、按贡献决定报酬机制研究</w:t>
      </w:r>
    </w:p>
    <w:p w:rsidR="00BD699E" w:rsidRDefault="00444B2A">
      <w:pPr>
        <w:spacing w:line="588" w:lineRule="exact"/>
        <w:ind w:firstLineChars="200" w:firstLine="600"/>
        <w:rPr>
          <w:rFonts w:ascii="Times New Roman" w:eastAsia="方正仿宋_GBK" w:hAnsi="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hint="eastAsia"/>
          <w:sz w:val="30"/>
          <w:szCs w:val="30"/>
        </w:rPr>
        <w:t>党的十九届四中全会首次增列了“数据”作为生产要素</w:t>
      </w:r>
      <w:r>
        <w:rPr>
          <w:rFonts w:ascii="Times New Roman" w:eastAsia="方正仿宋_GBK" w:hAnsi="Times New Roman" w:hint="eastAsia"/>
          <w:sz w:val="30"/>
          <w:szCs w:val="30"/>
        </w:rPr>
        <w:t>，提出健全劳动、资本、土地、知识、技术、管理、数据等生产要素由市场评价贡献、按贡献决定报酬的机制。中共中央</w:t>
      </w:r>
      <w:r>
        <w:rPr>
          <w:rFonts w:ascii="Times New Roman" w:eastAsia="方正仿宋_GBK" w:hAnsi="Times New Roman" w:hint="eastAsia"/>
          <w:sz w:val="30"/>
          <w:szCs w:val="30"/>
        </w:rPr>
        <w:t xml:space="preserve"> </w:t>
      </w:r>
      <w:r>
        <w:rPr>
          <w:rFonts w:ascii="Times New Roman" w:eastAsia="方正仿宋_GBK" w:hAnsi="Times New Roman" w:hint="eastAsia"/>
          <w:sz w:val="30"/>
          <w:szCs w:val="30"/>
        </w:rPr>
        <w:t>国务院近期出台了《关于构建更加完善的要素市场化配置体制机制的意见》。应深入分析我国当前各类生产要素由市场评价贡献、按贡献参与分配的基本情况，找准制约各类生产要素按贡献参与分配的体制机制性障碍，并提出完善生产要素参与分配机制的政策建议。尤其是强化以增加知识价值为导向，充分尊重科研、技术、管理人才，建立健全数据权属、公开、共享、交易规则，更好实现知识、技术、管理、数据等要素价值的收入分配政策。</w:t>
      </w:r>
    </w:p>
    <w:p w:rsidR="00BD699E" w:rsidRDefault="00444B2A">
      <w:pPr>
        <w:spacing w:line="588"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sz w:val="30"/>
          <w:szCs w:val="30"/>
        </w:rPr>
        <w:t>十五、</w:t>
      </w:r>
      <w:r>
        <w:rPr>
          <w:rFonts w:ascii="方正黑体_GBK" w:eastAsia="方正黑体_GBK" w:hAnsi="方正黑体_GBK" w:cs="方正黑体_GBK" w:hint="eastAsia"/>
          <w:sz w:val="30"/>
          <w:szCs w:val="30"/>
        </w:rPr>
        <w:t>劳动</w:t>
      </w:r>
      <w:r>
        <w:rPr>
          <w:rFonts w:ascii="方正黑体_GBK" w:eastAsia="方正黑体_GBK" w:hAnsi="方正黑体_GBK" w:cs="方正黑体_GBK" w:hint="eastAsia"/>
          <w:sz w:val="30"/>
          <w:szCs w:val="30"/>
        </w:rPr>
        <w:t>者报酬占国民收入比重现状、问题及对策研究</w:t>
      </w:r>
    </w:p>
    <w:p w:rsidR="00BD699E" w:rsidRDefault="00444B2A">
      <w:pPr>
        <w:spacing w:line="588" w:lineRule="exact"/>
        <w:ind w:firstLineChars="200" w:firstLine="600"/>
        <w:rPr>
          <w:rFonts w:ascii="Times New Roman" w:eastAsia="方正仿宋_GBK" w:hAnsi="Times New Roman"/>
          <w:sz w:val="30"/>
          <w:szCs w:val="30"/>
        </w:rPr>
      </w:pPr>
      <w:r>
        <w:rPr>
          <w:rFonts w:ascii="Times New Roman" w:eastAsia="方正楷体_GBK" w:hAnsi="Times New Roman" w:cs="方正楷体_GBK" w:hint="eastAsia"/>
          <w:sz w:val="30"/>
          <w:szCs w:val="30"/>
        </w:rPr>
        <w:t>研究要点：</w:t>
      </w:r>
      <w:r>
        <w:rPr>
          <w:rFonts w:ascii="Times New Roman" w:eastAsia="方正仿宋_GBK" w:hAnsi="Times New Roman" w:hint="eastAsia"/>
          <w:sz w:val="30"/>
          <w:szCs w:val="30"/>
        </w:rPr>
        <w:t>党的十九届四中全会提出“坚持多劳多得，着重保护劳动所得，增加劳动者特别是一线劳动者劳动报酬，提高劳动报酬在初次分配中的比重”。劳动者报酬是居民收入的主要来源，其平稳增长有利于提高居民收入比重，改善宏观收入分配格局。近年来我国劳动者报酬占比逐年上升，格局不断改善。需在梳理近年劳动者报酬占比变化和国民收入分配格局基础上，分析存在的问题和深层次原因，提出进一步增加劳动者劳动报酬、提高劳动者报酬占比的政策建议。</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十六、</w:t>
      </w:r>
      <w:r>
        <w:rPr>
          <w:rFonts w:ascii="方正黑体_GBK" w:eastAsia="方正黑体_GBK" w:hAnsi="方正黑体_GBK" w:cs="方正黑体_GBK" w:hint="eastAsia"/>
          <w:color w:val="000000"/>
          <w:sz w:val="30"/>
          <w:szCs w:val="30"/>
        </w:rPr>
        <w:t>“十四五”促进消费总体思路研究</w:t>
      </w:r>
    </w:p>
    <w:p w:rsidR="00BD699E" w:rsidRDefault="00444B2A">
      <w:pPr>
        <w:adjustRightInd w:val="0"/>
        <w:snapToGrid w:val="0"/>
        <w:spacing w:line="588" w:lineRule="exact"/>
        <w:ind w:firstLineChars="200" w:firstLine="600"/>
        <w:rPr>
          <w:rFonts w:ascii="Times New Roman" w:eastAsia="方正仿宋_GBK" w:hAnsi="Times New Roman" w:cs="Times New Roman"/>
          <w:color w:val="000000"/>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sz w:val="30"/>
          <w:szCs w:val="30"/>
        </w:rPr>
        <w:t>立足“十三五”时期我国促进消费的</w:t>
      </w:r>
      <w:r>
        <w:rPr>
          <w:rFonts w:ascii="Times New Roman" w:eastAsia="方正仿宋_GBK" w:hAnsi="Times New Roman" w:cs="Times New Roman"/>
          <w:color w:val="000000"/>
          <w:sz w:val="30"/>
          <w:szCs w:val="30"/>
        </w:rPr>
        <w:t>成就、经验和</w:t>
      </w:r>
      <w:r>
        <w:rPr>
          <w:rFonts w:ascii="Times New Roman" w:eastAsia="方正仿宋_GBK" w:hAnsi="Times New Roman" w:cs="Times New Roman"/>
          <w:color w:val="000000"/>
          <w:sz w:val="30"/>
          <w:szCs w:val="30"/>
        </w:rPr>
        <w:lastRenderedPageBreak/>
        <w:t>问题</w:t>
      </w:r>
      <w:r>
        <w:rPr>
          <w:rFonts w:ascii="Times New Roman" w:eastAsia="方正仿宋_GBK" w:hAnsi="Times New Roman" w:cs="Times New Roman" w:hint="eastAsia"/>
          <w:color w:val="000000"/>
          <w:sz w:val="30"/>
          <w:szCs w:val="30"/>
        </w:rPr>
        <w:t>，深入</w:t>
      </w:r>
      <w:r>
        <w:rPr>
          <w:rFonts w:ascii="Times New Roman" w:eastAsia="方正仿宋_GBK" w:hAnsi="Times New Roman" w:cs="Times New Roman" w:hint="eastAsia"/>
          <w:color w:val="000000"/>
          <w:sz w:val="30"/>
          <w:szCs w:val="30"/>
        </w:rPr>
        <w:t>分析“十四五”时期我国消费发展的总体趋势、结构变化、群体特征、重点增长领域和空间等，剖析存在的主要矛盾、问题和短板。以更好满足人民美好生活需要为出发点，以促进形成强大国内市场为方向，以</w:t>
      </w:r>
      <w:r>
        <w:rPr>
          <w:rFonts w:ascii="Times New Roman" w:eastAsia="方正仿宋_GBK" w:hAnsi="Times New Roman" w:cs="Times New Roman" w:hint="eastAsia"/>
          <w:color w:val="000000"/>
          <w:sz w:val="30"/>
          <w:szCs w:val="30"/>
        </w:rPr>
        <w:t>加快建成全球最大消费市场为目标，</w:t>
      </w:r>
      <w:r>
        <w:rPr>
          <w:rFonts w:ascii="Times New Roman" w:eastAsia="方正仿宋_GBK" w:hAnsi="Times New Roman" w:cs="Times New Roman" w:hint="eastAsia"/>
          <w:color w:val="000000"/>
          <w:sz w:val="30"/>
          <w:szCs w:val="30"/>
        </w:rPr>
        <w:t>着眼于破除制约消费的体制机制障碍，系统</w:t>
      </w:r>
      <w:r>
        <w:rPr>
          <w:rFonts w:ascii="Times New Roman" w:eastAsia="方正仿宋_GBK" w:hAnsi="Times New Roman" w:cs="Times New Roman"/>
          <w:color w:val="000000"/>
          <w:sz w:val="30"/>
          <w:szCs w:val="30"/>
        </w:rPr>
        <w:t>研究提出</w:t>
      </w:r>
      <w:r>
        <w:rPr>
          <w:rFonts w:ascii="Times New Roman" w:eastAsia="方正仿宋_GBK" w:hAnsi="Times New Roman" w:cs="Times New Roman"/>
          <w:color w:val="000000"/>
          <w:sz w:val="30"/>
          <w:szCs w:val="30"/>
        </w:rPr>
        <w:t>“</w:t>
      </w:r>
      <w:r>
        <w:rPr>
          <w:rFonts w:ascii="Times New Roman" w:eastAsia="方正仿宋_GBK" w:hAnsi="Times New Roman" w:cs="Times New Roman"/>
          <w:color w:val="000000"/>
          <w:sz w:val="30"/>
          <w:szCs w:val="30"/>
        </w:rPr>
        <w:t>十四五</w:t>
      </w:r>
      <w:r>
        <w:rPr>
          <w:rFonts w:ascii="Times New Roman" w:eastAsia="方正仿宋_GBK" w:hAnsi="Times New Roman" w:cs="Times New Roman"/>
          <w:color w:val="000000"/>
          <w:sz w:val="30"/>
          <w:szCs w:val="30"/>
        </w:rPr>
        <w:t>”</w:t>
      </w:r>
      <w:r>
        <w:rPr>
          <w:rFonts w:ascii="Times New Roman" w:eastAsia="方正仿宋_GBK" w:hAnsi="Times New Roman" w:cs="Times New Roman"/>
          <w:color w:val="000000"/>
          <w:sz w:val="30"/>
          <w:szCs w:val="30"/>
        </w:rPr>
        <w:t>时期促进</w:t>
      </w:r>
      <w:r>
        <w:rPr>
          <w:rFonts w:ascii="Times New Roman" w:eastAsia="方正仿宋_GBK" w:hAnsi="Times New Roman" w:cs="Times New Roman" w:hint="eastAsia"/>
          <w:color w:val="000000"/>
          <w:sz w:val="30"/>
          <w:szCs w:val="30"/>
        </w:rPr>
        <w:t>消费</w:t>
      </w:r>
      <w:r>
        <w:rPr>
          <w:rFonts w:ascii="Times New Roman" w:eastAsia="方正仿宋_GBK" w:hAnsi="Times New Roman" w:cs="Times New Roman"/>
          <w:color w:val="000000"/>
          <w:sz w:val="30"/>
          <w:szCs w:val="30"/>
        </w:rPr>
        <w:t>的总体要求、主要目标、基本思路、政策取向、重点任务和重大举措</w:t>
      </w:r>
      <w:r>
        <w:rPr>
          <w:rFonts w:ascii="Times New Roman" w:eastAsia="方正仿宋_GBK" w:hAnsi="Times New Roman" w:cs="Times New Roman" w:hint="eastAsia"/>
          <w:color w:val="000000"/>
          <w:sz w:val="30"/>
          <w:szCs w:val="30"/>
        </w:rPr>
        <w:t>。</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十七、</w:t>
      </w:r>
      <w:r>
        <w:rPr>
          <w:rFonts w:ascii="方正黑体_GBK" w:eastAsia="方正黑体_GBK" w:hAnsi="方正黑体_GBK" w:cs="方正黑体_GBK" w:hint="eastAsia"/>
          <w:color w:val="000000"/>
          <w:sz w:val="30"/>
          <w:szCs w:val="30"/>
        </w:rPr>
        <w:t>“十四五”时期消费指标设计及测算</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color w:val="000000"/>
          <w:sz w:val="30"/>
          <w:szCs w:val="30"/>
        </w:rPr>
        <w:t>系统梳理当前消费领域各类指标，结合问卷调查、大数据分析、实地</w:t>
      </w:r>
      <w:r>
        <w:rPr>
          <w:rFonts w:ascii="Times New Roman" w:eastAsia="方正仿宋_GBK" w:hAnsi="Times New Roman" w:cs="Times New Roman" w:hint="eastAsia"/>
          <w:color w:val="000000"/>
          <w:sz w:val="30"/>
          <w:szCs w:val="30"/>
        </w:rPr>
        <w:t>调研，建立一套数据详实、结构清晰的动态消费数据库。结合“十四五”时期我国消费变化趋势，研究提出能够更全面反映我国消费水平、规模、结构、质量、发展趋势等的指标体系，并科学地进行测算分析。</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十八、</w:t>
      </w:r>
      <w:r>
        <w:rPr>
          <w:rFonts w:ascii="方正黑体_GBK" w:eastAsia="方正黑体_GBK" w:hAnsi="方正黑体_GBK" w:cs="方正黑体_GBK" w:hint="eastAsia"/>
          <w:color w:val="000000"/>
          <w:sz w:val="30"/>
          <w:szCs w:val="30"/>
        </w:rPr>
        <w:t>新消费模式和服务体系建设研究</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color w:val="000000"/>
          <w:sz w:val="30"/>
          <w:szCs w:val="30"/>
        </w:rPr>
        <w:t>明确新消费模式的内涵范畴和特征。全面分析我国新消费领域现状和特点，深入分析存在的短板弱项和问题，研究提出今后一个时期重点发展的各类新消费模式和具体措施，以及加快新消费服务体系和保障能力建设的政策建议，科学谋划促进新消费高质量发展的总体思路和政策框架。</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十九、</w:t>
      </w:r>
      <w:r>
        <w:rPr>
          <w:rFonts w:ascii="方正黑体_GBK" w:eastAsia="方正黑体_GBK" w:hAnsi="方正黑体_GBK" w:cs="方正黑体_GBK" w:hint="eastAsia"/>
          <w:color w:val="000000"/>
          <w:sz w:val="30"/>
          <w:szCs w:val="30"/>
        </w:rPr>
        <w:t>促进区域消费中心建设发</w:t>
      </w:r>
      <w:r>
        <w:rPr>
          <w:rFonts w:ascii="方正黑体_GBK" w:eastAsia="方正黑体_GBK" w:hAnsi="方正黑体_GBK" w:cs="方正黑体_GBK" w:hint="eastAsia"/>
          <w:color w:val="000000"/>
          <w:sz w:val="30"/>
          <w:szCs w:val="30"/>
        </w:rPr>
        <w:t>展研究</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color w:val="000000"/>
          <w:sz w:val="30"/>
          <w:szCs w:val="30"/>
        </w:rPr>
        <w:t>明确区域消费中心的内涵和特征。梳理总结国内外区域消费中心建设的现状、经验和问题。分析我国培育建设区域消费中心的重大意义，研究提出培育区域消费中心的工作目标、</w:t>
      </w:r>
      <w:r>
        <w:rPr>
          <w:rFonts w:ascii="Times New Roman" w:eastAsia="方正仿宋_GBK" w:hAnsi="Times New Roman" w:cs="Times New Roman" w:hint="eastAsia"/>
          <w:color w:val="000000"/>
          <w:sz w:val="30"/>
          <w:szCs w:val="30"/>
        </w:rPr>
        <w:lastRenderedPageBreak/>
        <w:t>重点任务、保障措施和实施方案。综合设计一套评价区域消费中心建设质量的指标体系，并对潜在的区域消费中心城市进行评价。</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w:t>
      </w:r>
      <w:r>
        <w:rPr>
          <w:rFonts w:ascii="方正黑体_GBK" w:eastAsia="方正黑体_GBK" w:hAnsi="方正黑体_GBK" w:cs="方正黑体_GBK" w:hint="eastAsia"/>
          <w:color w:val="000000"/>
          <w:sz w:val="30"/>
          <w:szCs w:val="30"/>
        </w:rPr>
        <w:t>大力发展幸福消费重大举措研究</w:t>
      </w:r>
    </w:p>
    <w:p w:rsidR="00BD699E" w:rsidRDefault="00444B2A">
      <w:pPr>
        <w:spacing w:line="588" w:lineRule="exact"/>
        <w:ind w:firstLineChars="200" w:firstLine="600"/>
        <w:rPr>
          <w:rFonts w:ascii="Times New Roman" w:eastAsia="方正仿宋_GBK" w:hAnsi="Times New Roman" w:cs="Times New Roman"/>
          <w:color w:val="000000"/>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color w:val="000000"/>
          <w:sz w:val="30"/>
          <w:szCs w:val="30"/>
        </w:rPr>
        <w:t>明确幸福消费的内涵范畴和特征。全面梳理我国幸福消费发展现状，深入分析存在的问题、短板特别是体制机制障碍，借鉴国际经验、瞄准国际趋势，围绕产品服务供给、</w:t>
      </w:r>
      <w:r>
        <w:rPr>
          <w:rFonts w:ascii="Times New Roman" w:eastAsia="方正仿宋_GBK" w:hAnsi="Times New Roman" w:cs="Times New Roman" w:hint="eastAsia"/>
          <w:color w:val="000000"/>
          <w:sz w:val="30"/>
          <w:szCs w:val="30"/>
        </w:rPr>
        <w:t>基础设施建设</w:t>
      </w:r>
      <w:r>
        <w:rPr>
          <w:rFonts w:ascii="Times New Roman" w:eastAsia="方正仿宋_GBK" w:hAnsi="Times New Roman" w:cs="Times New Roman" w:hint="eastAsia"/>
          <w:color w:val="000000"/>
          <w:sz w:val="30"/>
          <w:szCs w:val="30"/>
        </w:rPr>
        <w:t>、服务体系建设、消费潜力挖掘、消费环境改善</w:t>
      </w:r>
      <w:r>
        <w:rPr>
          <w:rFonts w:ascii="Times New Roman" w:eastAsia="方正仿宋_GBK" w:hAnsi="Times New Roman" w:cs="Times New Roman" w:hint="eastAsia"/>
          <w:color w:val="000000"/>
          <w:sz w:val="30"/>
          <w:szCs w:val="30"/>
        </w:rPr>
        <w:t>等</w:t>
      </w:r>
      <w:r>
        <w:rPr>
          <w:rFonts w:ascii="Times New Roman" w:eastAsia="方正仿宋_GBK" w:hAnsi="Times New Roman" w:cs="Times New Roman" w:hint="eastAsia"/>
          <w:color w:val="000000"/>
          <w:sz w:val="30"/>
          <w:szCs w:val="30"/>
        </w:rPr>
        <w:t>方面</w:t>
      </w:r>
      <w:r>
        <w:rPr>
          <w:rFonts w:ascii="Times New Roman" w:eastAsia="方正仿宋_GBK" w:hAnsi="Times New Roman" w:cs="Times New Roman" w:hint="eastAsia"/>
          <w:color w:val="000000"/>
          <w:sz w:val="30"/>
          <w:szCs w:val="30"/>
        </w:rPr>
        <w:t>，</w:t>
      </w:r>
      <w:r>
        <w:rPr>
          <w:rFonts w:ascii="Times New Roman" w:eastAsia="方正仿宋_GBK" w:hAnsi="Times New Roman" w:cs="Times New Roman" w:hint="eastAsia"/>
          <w:color w:val="000000"/>
          <w:sz w:val="30"/>
          <w:szCs w:val="30"/>
        </w:rPr>
        <w:t>从需求引领、供需有效匹配的角度，提出进一步促进幸福消费提质扩容</w:t>
      </w:r>
      <w:r>
        <w:rPr>
          <w:rFonts w:ascii="Times New Roman" w:eastAsia="方正仿宋_GBK" w:hAnsi="Times New Roman" w:cs="Times New Roman" w:hint="eastAsia"/>
          <w:color w:val="000000"/>
          <w:sz w:val="30"/>
          <w:szCs w:val="30"/>
        </w:rPr>
        <w:t>的</w:t>
      </w:r>
      <w:r>
        <w:rPr>
          <w:rFonts w:ascii="Times New Roman" w:eastAsia="方正仿宋_GBK" w:hAnsi="Times New Roman" w:cs="Times New Roman" w:hint="eastAsia"/>
          <w:color w:val="000000"/>
          <w:sz w:val="30"/>
          <w:szCs w:val="30"/>
        </w:rPr>
        <w:t>总体思路和重大举措</w:t>
      </w:r>
      <w:r>
        <w:rPr>
          <w:rFonts w:ascii="Times New Roman" w:eastAsia="方正仿宋_GBK" w:hAnsi="Times New Roman" w:cs="Times New Roman" w:hint="eastAsia"/>
          <w:color w:val="000000"/>
          <w:sz w:val="30"/>
          <w:szCs w:val="30"/>
        </w:rPr>
        <w:t>。</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二十一、</w:t>
      </w:r>
      <w:r>
        <w:rPr>
          <w:rFonts w:ascii="方正黑体_GBK" w:eastAsia="方正黑体_GBK" w:hAnsi="方正黑体_GBK" w:cs="方正黑体_GBK" w:hint="eastAsia"/>
          <w:color w:val="000000"/>
          <w:sz w:val="30"/>
          <w:szCs w:val="30"/>
        </w:rPr>
        <w:t>公共消费理论、政策与实践研究</w:t>
      </w:r>
    </w:p>
    <w:p w:rsidR="00BD699E" w:rsidRDefault="00444B2A">
      <w:pPr>
        <w:spacing w:line="588" w:lineRule="exact"/>
        <w:ind w:firstLineChars="200" w:firstLine="600"/>
        <w:rPr>
          <w:rFonts w:ascii="方正仿宋_GBK" w:eastAsia="方正仿宋_GBK" w:hAnsi="方正仿宋_GBK" w:cs="方正仿宋_GBK"/>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hint="eastAsia"/>
          <w:color w:val="000000"/>
          <w:sz w:val="30"/>
          <w:szCs w:val="30"/>
        </w:rPr>
        <w:t>明确公共消费的</w:t>
      </w:r>
      <w:r>
        <w:rPr>
          <w:rFonts w:ascii="Times New Roman" w:eastAsia="方正仿宋_GBK" w:hAnsi="Times New Roman" w:cs="Times New Roman" w:hint="eastAsia"/>
          <w:color w:val="000000"/>
          <w:sz w:val="30"/>
          <w:szCs w:val="30"/>
        </w:rPr>
        <w:t>内涵范畴、特征和意义。系统梳理国内外关于公共消费的理论，以及政策制度、实践经验和成效。深入</w:t>
      </w:r>
      <w:r>
        <w:rPr>
          <w:rFonts w:ascii="Times New Roman" w:eastAsia="方正仿宋_GBK" w:hAnsi="Times New Roman" w:cs="Times New Roman" w:hint="eastAsia"/>
          <w:color w:val="000000"/>
          <w:sz w:val="30"/>
          <w:szCs w:val="30"/>
        </w:rPr>
        <w:t>分析我国公共消费现状和特点，科学评价我国公共消费发展水平，剖析存在的问题和体制机制障碍。借鉴国际经验，综合提出今后公共消费合理发展的方向和政策建议</w:t>
      </w:r>
      <w:r>
        <w:rPr>
          <w:rFonts w:ascii="Times New Roman" w:eastAsia="方正仿宋_GBK" w:hAnsi="Times New Roman" w:cs="Times New Roman" w:hint="eastAsia"/>
          <w:color w:val="000000"/>
          <w:sz w:val="30"/>
          <w:szCs w:val="30"/>
        </w:rPr>
        <w:t>。</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二十二、就业、收入分配、消费和社会保障季度形势分析和苗头性、倾向性、潜在性问题研究</w:t>
      </w:r>
    </w:p>
    <w:p w:rsidR="00BD699E" w:rsidRDefault="00444B2A">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sz w:val="30"/>
          <w:szCs w:val="30"/>
        </w:rPr>
        <w:t>密切结合季度宏观经济形势和社会重点问题，围绕就业、收入分配、消费和社会保障工作的主要指标变化、重点政策调整和行业、领域内的重大事件，开展季度形势分析，总结各月发生的苗头性、倾向性和潜在性问题，考察相关趋势性因素背后的结构性矛盾和面临的风险挑战，研判相关领域亟待解决的改革难点问题和体制机制障碍，研究提出完善就业、收入分配、</w:t>
      </w:r>
      <w:r>
        <w:rPr>
          <w:rFonts w:ascii="Times New Roman" w:eastAsia="方正仿宋_GBK" w:hAnsi="Times New Roman" w:cs="Times New Roman"/>
          <w:sz w:val="30"/>
          <w:szCs w:val="30"/>
        </w:rPr>
        <w:lastRenderedPageBreak/>
        <w:t>消费和社会保障工作的改革建议。</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二十三、中国社会治理与发展年度报告重点问题研究</w:t>
      </w:r>
    </w:p>
    <w:p w:rsidR="00BD699E" w:rsidRDefault="00444B2A">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sz w:val="30"/>
          <w:szCs w:val="30"/>
        </w:rPr>
        <w:t>立足推进国家治理体系和治理能力现代化的总体要求，清晰界定新时代社会治理的边界内涵与重点内容，梳理总结年度我国社会治理重大事件、重点改革和创新突破，分析当前社会结构性变化对社会治理体系带来的风险和挑战，评估我国社会治理中存在的</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盲点</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死角</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短板</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问题，就如何推动提高社会治理现代化水平，加快把制度优势转化为治理效能研提相关改革建议。</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二十四、</w:t>
      </w:r>
      <w:r>
        <w:rPr>
          <w:rFonts w:ascii="方正黑体_GBK" w:eastAsia="方正黑体_GBK" w:hAnsi="方正黑体_GBK" w:cs="方正黑体_GBK" w:hint="eastAsia"/>
          <w:color w:val="000000"/>
          <w:sz w:val="30"/>
          <w:szCs w:val="30"/>
        </w:rPr>
        <w:t>完善我国多层次社会保障体系的政策宣传问题研究</w:t>
      </w:r>
    </w:p>
    <w:p w:rsidR="00BD699E" w:rsidRDefault="00444B2A">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sz w:val="30"/>
          <w:szCs w:val="30"/>
        </w:rPr>
        <w:t>围绕多层次</w:t>
      </w:r>
      <w:r>
        <w:rPr>
          <w:rFonts w:ascii="Times New Roman" w:eastAsia="方正仿宋_GBK" w:hAnsi="Times New Roman" w:cs="Times New Roman" w:hint="eastAsia"/>
          <w:sz w:val="30"/>
          <w:szCs w:val="30"/>
        </w:rPr>
        <w:t>社会保障</w:t>
      </w:r>
      <w:r>
        <w:rPr>
          <w:rFonts w:ascii="Times New Roman" w:eastAsia="方正仿宋_GBK" w:hAnsi="Times New Roman" w:cs="Times New Roman"/>
          <w:sz w:val="30"/>
          <w:szCs w:val="30"/>
        </w:rPr>
        <w:t>体系的总体战略部署，研判深化养老、医疗等主要领域社会保障制度改革</w:t>
      </w:r>
      <w:r>
        <w:rPr>
          <w:rFonts w:ascii="Times New Roman" w:eastAsia="方正仿宋_GBK" w:hAnsi="Times New Roman" w:cs="Times New Roman" w:hint="eastAsia"/>
          <w:sz w:val="30"/>
          <w:szCs w:val="30"/>
        </w:rPr>
        <w:t>状况</w:t>
      </w:r>
      <w:r>
        <w:rPr>
          <w:rFonts w:ascii="Times New Roman" w:eastAsia="方正仿宋_GBK" w:hAnsi="Times New Roman" w:cs="Times New Roman"/>
          <w:sz w:val="30"/>
          <w:szCs w:val="30"/>
        </w:rPr>
        <w:t>，分析</w:t>
      </w:r>
      <w:r>
        <w:rPr>
          <w:rFonts w:ascii="Times New Roman" w:eastAsia="方正仿宋_GBK" w:hAnsi="Times New Roman" w:cs="Times New Roman" w:hint="eastAsia"/>
          <w:sz w:val="30"/>
          <w:szCs w:val="30"/>
        </w:rPr>
        <w:t>相关政策宣传解读</w:t>
      </w:r>
      <w:r>
        <w:rPr>
          <w:rFonts w:ascii="Times New Roman" w:eastAsia="方正仿宋_GBK" w:hAnsi="Times New Roman" w:cs="Times New Roman" w:hint="eastAsia"/>
          <w:sz w:val="30"/>
          <w:szCs w:val="30"/>
        </w:rPr>
        <w:t>的主要情况和存在的问题</w:t>
      </w:r>
      <w:r>
        <w:rPr>
          <w:rFonts w:ascii="Times New Roman" w:eastAsia="方正仿宋_GBK" w:hAnsi="Times New Roman" w:cs="Times New Roman"/>
          <w:sz w:val="30"/>
          <w:szCs w:val="30"/>
        </w:rPr>
        <w:t>，研究提出适应深化社会保障改革要求的</w:t>
      </w:r>
      <w:r>
        <w:rPr>
          <w:rFonts w:ascii="Times New Roman" w:eastAsia="方正仿宋_GBK" w:hAnsi="Times New Roman" w:cs="Times New Roman" w:hint="eastAsia"/>
          <w:sz w:val="30"/>
          <w:szCs w:val="30"/>
        </w:rPr>
        <w:t>思路方法</w:t>
      </w:r>
      <w:r>
        <w:rPr>
          <w:rFonts w:ascii="Times New Roman" w:eastAsia="方正仿宋_GBK" w:hAnsi="Times New Roman" w:cs="Times New Roman"/>
          <w:sz w:val="30"/>
          <w:szCs w:val="30"/>
        </w:rPr>
        <w:t>。</w:t>
      </w:r>
    </w:p>
    <w:p w:rsidR="00BD699E" w:rsidRDefault="00444B2A">
      <w:pPr>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二十五、</w:t>
      </w:r>
      <w:r>
        <w:rPr>
          <w:rFonts w:ascii="方正黑体_GBK" w:eastAsia="方正黑体_GBK" w:hAnsi="方正黑体_GBK" w:cs="方正黑体_GBK"/>
          <w:color w:val="000000"/>
          <w:sz w:val="30"/>
          <w:szCs w:val="30"/>
        </w:rPr>
        <w:t>“</w:t>
      </w:r>
      <w:r>
        <w:rPr>
          <w:rFonts w:ascii="方正黑体_GBK" w:eastAsia="方正黑体_GBK" w:hAnsi="方正黑体_GBK" w:cs="方正黑体_GBK"/>
          <w:color w:val="000000"/>
          <w:sz w:val="30"/>
          <w:szCs w:val="30"/>
        </w:rPr>
        <w:t>十四五</w:t>
      </w:r>
      <w:r>
        <w:rPr>
          <w:rFonts w:ascii="方正黑体_GBK" w:eastAsia="方正黑体_GBK" w:hAnsi="方正黑体_GBK" w:cs="方正黑体_GBK"/>
          <w:color w:val="000000"/>
          <w:sz w:val="30"/>
          <w:szCs w:val="30"/>
        </w:rPr>
        <w:t>”</w:t>
      </w:r>
      <w:r>
        <w:rPr>
          <w:rFonts w:ascii="方正黑体_GBK" w:eastAsia="方正黑体_GBK" w:hAnsi="方正黑体_GBK" w:cs="方正黑体_GBK"/>
          <w:color w:val="000000"/>
          <w:sz w:val="30"/>
          <w:szCs w:val="30"/>
        </w:rPr>
        <w:t>时期我国社会保障制度</w:t>
      </w:r>
      <w:r>
        <w:rPr>
          <w:rFonts w:ascii="方正黑体_GBK" w:eastAsia="方正黑体_GBK" w:hAnsi="方正黑体_GBK" w:cs="方正黑体_GBK" w:hint="eastAsia"/>
          <w:color w:val="000000"/>
          <w:sz w:val="30"/>
          <w:szCs w:val="30"/>
        </w:rPr>
        <w:t>关键问题</w:t>
      </w:r>
      <w:r>
        <w:rPr>
          <w:rFonts w:ascii="方正黑体_GBK" w:eastAsia="方正黑体_GBK" w:hAnsi="方正黑体_GBK" w:cs="方正黑体_GBK"/>
          <w:color w:val="000000"/>
          <w:sz w:val="30"/>
          <w:szCs w:val="30"/>
        </w:rPr>
        <w:t>和</w:t>
      </w:r>
      <w:r>
        <w:rPr>
          <w:rFonts w:ascii="方正黑体_GBK" w:eastAsia="方正黑体_GBK" w:hAnsi="方正黑体_GBK" w:cs="方正黑体_GBK" w:hint="eastAsia"/>
          <w:color w:val="000000"/>
          <w:sz w:val="30"/>
          <w:szCs w:val="30"/>
        </w:rPr>
        <w:t>改革思路</w:t>
      </w:r>
      <w:r>
        <w:rPr>
          <w:rFonts w:ascii="方正黑体_GBK" w:eastAsia="方正黑体_GBK" w:hAnsi="方正黑体_GBK" w:cs="方正黑体_GBK"/>
          <w:color w:val="000000"/>
          <w:sz w:val="30"/>
          <w:szCs w:val="30"/>
        </w:rPr>
        <w:t>研究</w:t>
      </w:r>
    </w:p>
    <w:p w:rsidR="00BD699E" w:rsidRDefault="00444B2A">
      <w:pPr>
        <w:spacing w:line="588" w:lineRule="exact"/>
        <w:ind w:firstLineChars="200" w:firstLine="600"/>
        <w:rPr>
          <w:rFonts w:ascii="Times New Roman" w:eastAsia="方正仿宋_GBK" w:hAnsi="Times New Roman" w:cs="Times New Roman"/>
          <w:sz w:val="30"/>
          <w:szCs w:val="30"/>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sz w:val="30"/>
          <w:szCs w:val="30"/>
        </w:rPr>
        <w:t>把握</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十四五</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时期经济社会发展的结构性变化，围绕社会保障体系平稳运行面临的新的环境和新挑战，以养老、医疗、失业等保险制度为重点，研究分析社会保障制度在公平性、可持续性、可负担性和与宏观经济社会发展的适应性方面的重大结构性风险，立足完善覆盖全民的社会保障体系的总体要求，提出社会保障防风险</w:t>
      </w:r>
      <w:r>
        <w:rPr>
          <w:rFonts w:ascii="Times New Roman" w:eastAsia="方正仿宋_GBK" w:hAnsi="Times New Roman" w:cs="Times New Roman" w:hint="eastAsia"/>
          <w:sz w:val="30"/>
          <w:szCs w:val="30"/>
        </w:rPr>
        <w:t>促改革</w:t>
      </w:r>
      <w:r>
        <w:rPr>
          <w:rFonts w:ascii="Times New Roman" w:eastAsia="方正仿宋_GBK" w:hAnsi="Times New Roman" w:cs="Times New Roman"/>
          <w:sz w:val="30"/>
          <w:szCs w:val="30"/>
        </w:rPr>
        <w:t>的</w:t>
      </w:r>
      <w:r>
        <w:rPr>
          <w:rFonts w:ascii="Times New Roman" w:eastAsia="方正仿宋_GBK" w:hAnsi="Times New Roman" w:cs="Times New Roman" w:hint="eastAsia"/>
          <w:sz w:val="30"/>
          <w:szCs w:val="30"/>
        </w:rPr>
        <w:t>基本</w:t>
      </w:r>
      <w:r>
        <w:rPr>
          <w:rFonts w:ascii="Times New Roman" w:eastAsia="方正仿宋_GBK" w:hAnsi="Times New Roman" w:cs="Times New Roman"/>
          <w:sz w:val="30"/>
          <w:szCs w:val="30"/>
        </w:rPr>
        <w:t>思路、重点任务和支撑政策。</w:t>
      </w:r>
    </w:p>
    <w:p w:rsidR="00BD699E" w:rsidRDefault="00444B2A">
      <w:pPr>
        <w:adjustRightInd w:val="0"/>
        <w:snapToGrid w:val="0"/>
        <w:spacing w:line="588" w:lineRule="exact"/>
        <w:ind w:firstLineChars="200" w:firstLine="600"/>
        <w:rPr>
          <w:rFonts w:ascii="方正黑体_GBK" w:eastAsia="方正黑体_GBK" w:hAnsi="方正黑体_GBK" w:cs="方正黑体_GBK"/>
          <w:color w:val="000000"/>
          <w:sz w:val="30"/>
          <w:szCs w:val="30"/>
        </w:rPr>
      </w:pPr>
      <w:r>
        <w:rPr>
          <w:rFonts w:ascii="方正黑体_GBK" w:eastAsia="方正黑体_GBK" w:hAnsi="方正黑体_GBK" w:cs="方正黑体_GBK"/>
          <w:color w:val="000000"/>
          <w:sz w:val="30"/>
          <w:szCs w:val="30"/>
        </w:rPr>
        <w:t>二十六、</w:t>
      </w:r>
      <w:r>
        <w:rPr>
          <w:rFonts w:ascii="方正黑体_GBK" w:eastAsia="方正黑体_GBK" w:hAnsi="方正黑体_GBK" w:cs="方正黑体_GBK" w:hint="eastAsia"/>
          <w:color w:val="000000"/>
          <w:sz w:val="30"/>
          <w:szCs w:val="30"/>
        </w:rPr>
        <w:t>企业职工基本养老保险基金收支平衡和征</w:t>
      </w:r>
      <w:r>
        <w:rPr>
          <w:rFonts w:ascii="方正黑体_GBK" w:eastAsia="方正黑体_GBK" w:hAnsi="方正黑体_GBK" w:cs="方正黑体_GBK" w:hint="eastAsia"/>
          <w:color w:val="000000"/>
          <w:sz w:val="30"/>
          <w:szCs w:val="30"/>
        </w:rPr>
        <w:t>缴等重点</w:t>
      </w:r>
      <w:r>
        <w:rPr>
          <w:rFonts w:ascii="方正黑体_GBK" w:eastAsia="方正黑体_GBK" w:hAnsi="方正黑体_GBK" w:cs="方正黑体_GBK" w:hint="eastAsia"/>
          <w:color w:val="000000"/>
          <w:sz w:val="30"/>
          <w:szCs w:val="30"/>
        </w:rPr>
        <w:lastRenderedPageBreak/>
        <w:t>改革问题研究</w:t>
      </w:r>
    </w:p>
    <w:p w:rsidR="00BD699E" w:rsidRDefault="00444B2A">
      <w:pPr>
        <w:spacing w:line="588" w:lineRule="exact"/>
        <w:ind w:firstLineChars="200" w:firstLine="600"/>
        <w:rPr>
          <w:rFonts w:eastAsia="方正仿宋_GBK"/>
        </w:rPr>
      </w:pPr>
      <w:r>
        <w:rPr>
          <w:rFonts w:ascii="Times New Roman" w:eastAsia="方正楷体_GBK" w:hAnsi="Times New Roman" w:cs="Times New Roman" w:hint="eastAsia"/>
          <w:color w:val="000000"/>
          <w:sz w:val="30"/>
          <w:szCs w:val="30"/>
        </w:rPr>
        <w:t>研究要点：</w:t>
      </w:r>
      <w:r>
        <w:rPr>
          <w:rFonts w:ascii="Times New Roman" w:eastAsia="方正仿宋_GBK" w:hAnsi="Times New Roman" w:cs="Times New Roman"/>
          <w:sz w:val="30"/>
          <w:szCs w:val="30"/>
        </w:rPr>
        <w:t>基于前期养老保险费率调整、中央调剂金制度实施、深化省级统筹等改革政策措施，结合今年以来阶段性减免企业社会保险费的政策变化，</w:t>
      </w:r>
      <w:r>
        <w:rPr>
          <w:rFonts w:ascii="Times New Roman" w:eastAsia="方正仿宋_GBK" w:hAnsi="Times New Roman" w:cs="Times New Roman" w:hint="eastAsia"/>
          <w:sz w:val="30"/>
          <w:szCs w:val="30"/>
        </w:rPr>
        <w:t>借鉴国际社会社保基金管理方面的先进经验和做法，</w:t>
      </w:r>
      <w:r>
        <w:rPr>
          <w:rFonts w:ascii="Times New Roman" w:eastAsia="方正仿宋_GBK" w:hAnsi="Times New Roman" w:cs="Times New Roman"/>
          <w:sz w:val="30"/>
          <w:szCs w:val="30"/>
        </w:rPr>
        <w:t>系统评估综合降费改革对企业职工基本养老保险基金财务状况的结构性影响，分析</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十四五</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时期和中长期基金收支平衡变化情况，研判制度面临的可持续风险压力，以财务测算为依据，提出推进企业职工养老保险制度更可持续发展的系统改革建议</w:t>
      </w:r>
      <w:r>
        <w:rPr>
          <w:rFonts w:ascii="Times New Roman" w:eastAsia="方正仿宋_GBK" w:hAnsi="Times New Roman" w:cs="Times New Roman" w:hint="eastAsia"/>
          <w:sz w:val="30"/>
          <w:szCs w:val="30"/>
        </w:rPr>
        <w:t>。</w:t>
      </w:r>
    </w:p>
    <w:p w:rsidR="00BD699E" w:rsidRDefault="00BD699E">
      <w:pPr>
        <w:spacing w:line="588" w:lineRule="exact"/>
        <w:ind w:firstLineChars="200" w:firstLine="600"/>
        <w:rPr>
          <w:rFonts w:ascii="Times New Roman" w:eastAsia="方正仿宋_GBK" w:hAnsi="Times New Roman"/>
          <w:sz w:val="30"/>
          <w:szCs w:val="30"/>
        </w:rPr>
      </w:pPr>
    </w:p>
    <w:p w:rsidR="00BD699E" w:rsidRDefault="00BD699E">
      <w:pPr>
        <w:spacing w:line="588" w:lineRule="exact"/>
        <w:ind w:firstLineChars="200" w:firstLine="420"/>
        <w:jc w:val="left"/>
      </w:pPr>
    </w:p>
    <w:sectPr w:rsidR="00BD69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B2A" w:rsidRDefault="00444B2A">
      <w:r>
        <w:separator/>
      </w:r>
    </w:p>
  </w:endnote>
  <w:endnote w:type="continuationSeparator" w:id="0">
    <w:p w:rsidR="00444B2A" w:rsidRDefault="0044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526735"/>
    </w:sdtPr>
    <w:sdtEndPr/>
    <w:sdtContent>
      <w:p w:rsidR="00BD699E" w:rsidRDefault="00444B2A">
        <w:pPr>
          <w:pStyle w:val="a4"/>
          <w:jc w:val="center"/>
        </w:pPr>
        <w:r>
          <w:fldChar w:fldCharType="begin"/>
        </w:r>
        <w:r>
          <w:instrText xml:space="preserve"> PAGE   \* MERGEFORMAT </w:instrText>
        </w:r>
        <w:r>
          <w:fldChar w:fldCharType="separate"/>
        </w:r>
        <w:r w:rsidR="00165EB5" w:rsidRPr="00165EB5">
          <w:rPr>
            <w:noProof/>
            <w:lang w:val="zh-CN"/>
          </w:rPr>
          <w:t>1</w:t>
        </w:r>
        <w:r>
          <w:rPr>
            <w:lang w:val="zh-CN"/>
          </w:rPr>
          <w:fldChar w:fldCharType="end"/>
        </w:r>
      </w:p>
    </w:sdtContent>
  </w:sdt>
  <w:p w:rsidR="00BD699E" w:rsidRDefault="00BD69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B2A" w:rsidRDefault="00444B2A">
      <w:r>
        <w:separator/>
      </w:r>
    </w:p>
  </w:footnote>
  <w:footnote w:type="continuationSeparator" w:id="0">
    <w:p w:rsidR="00444B2A" w:rsidRDefault="0044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A6"/>
    <w:rsid w:val="93BE8824"/>
    <w:rsid w:val="9DB784A1"/>
    <w:rsid w:val="9F9677D6"/>
    <w:rsid w:val="A67F75ED"/>
    <w:rsid w:val="AEDBEDBD"/>
    <w:rsid w:val="B4FF9012"/>
    <w:rsid w:val="B7D735AE"/>
    <w:rsid w:val="B7FEA6A4"/>
    <w:rsid w:val="B9FF97CA"/>
    <w:rsid w:val="BA37BA66"/>
    <w:rsid w:val="BBD95195"/>
    <w:rsid w:val="BDDDE939"/>
    <w:rsid w:val="BDFFEF54"/>
    <w:rsid w:val="BF5D5B44"/>
    <w:rsid w:val="BF6F9B02"/>
    <w:rsid w:val="BF9F2A1C"/>
    <w:rsid w:val="C77D5FC0"/>
    <w:rsid w:val="C7E491D6"/>
    <w:rsid w:val="C7FF376D"/>
    <w:rsid w:val="D297FA56"/>
    <w:rsid w:val="D33DA196"/>
    <w:rsid w:val="D96DE0E5"/>
    <w:rsid w:val="DBC8C0E9"/>
    <w:rsid w:val="DFF6979C"/>
    <w:rsid w:val="E7FFEC67"/>
    <w:rsid w:val="EDE77252"/>
    <w:rsid w:val="EDEFF9D0"/>
    <w:rsid w:val="EEE04B8C"/>
    <w:rsid w:val="EFBE993E"/>
    <w:rsid w:val="EFBF33B3"/>
    <w:rsid w:val="EFFF41A6"/>
    <w:rsid w:val="EFFFE71A"/>
    <w:rsid w:val="F7AE28E7"/>
    <w:rsid w:val="F7FE4F12"/>
    <w:rsid w:val="FA77DDDB"/>
    <w:rsid w:val="FAD9343D"/>
    <w:rsid w:val="FB8F348B"/>
    <w:rsid w:val="FBAE33D5"/>
    <w:rsid w:val="FDD504E4"/>
    <w:rsid w:val="FDF1EAC5"/>
    <w:rsid w:val="FEAF1A00"/>
    <w:rsid w:val="FEE7A94D"/>
    <w:rsid w:val="FEFF5DFB"/>
    <w:rsid w:val="FF276D63"/>
    <w:rsid w:val="FF3733AA"/>
    <w:rsid w:val="FF7DED15"/>
    <w:rsid w:val="FFF743D2"/>
    <w:rsid w:val="FFFDDDA9"/>
    <w:rsid w:val="000943C1"/>
    <w:rsid w:val="00126054"/>
    <w:rsid w:val="0014354F"/>
    <w:rsid w:val="001539E9"/>
    <w:rsid w:val="00165EB5"/>
    <w:rsid w:val="00166DF6"/>
    <w:rsid w:val="0020314F"/>
    <w:rsid w:val="002529E6"/>
    <w:rsid w:val="002F4CF1"/>
    <w:rsid w:val="00350265"/>
    <w:rsid w:val="00367F8F"/>
    <w:rsid w:val="003831BE"/>
    <w:rsid w:val="0042796A"/>
    <w:rsid w:val="00437201"/>
    <w:rsid w:val="00440359"/>
    <w:rsid w:val="00444B2A"/>
    <w:rsid w:val="00463A0A"/>
    <w:rsid w:val="004A1D65"/>
    <w:rsid w:val="00561A0A"/>
    <w:rsid w:val="005624C7"/>
    <w:rsid w:val="00576AA8"/>
    <w:rsid w:val="005A472A"/>
    <w:rsid w:val="005F761C"/>
    <w:rsid w:val="0063384D"/>
    <w:rsid w:val="00640A21"/>
    <w:rsid w:val="0065133C"/>
    <w:rsid w:val="006C3B1D"/>
    <w:rsid w:val="00735826"/>
    <w:rsid w:val="007610D9"/>
    <w:rsid w:val="00796110"/>
    <w:rsid w:val="007E3280"/>
    <w:rsid w:val="007E4F17"/>
    <w:rsid w:val="007F41A0"/>
    <w:rsid w:val="0083574B"/>
    <w:rsid w:val="0084666F"/>
    <w:rsid w:val="00872AD1"/>
    <w:rsid w:val="00897D41"/>
    <w:rsid w:val="008B3399"/>
    <w:rsid w:val="009061A9"/>
    <w:rsid w:val="009473D4"/>
    <w:rsid w:val="009C39B7"/>
    <w:rsid w:val="009D1703"/>
    <w:rsid w:val="00A57730"/>
    <w:rsid w:val="00A631BA"/>
    <w:rsid w:val="00A752A6"/>
    <w:rsid w:val="00BA6F88"/>
    <w:rsid w:val="00BD699E"/>
    <w:rsid w:val="00BE2B63"/>
    <w:rsid w:val="00BE6599"/>
    <w:rsid w:val="00CB5765"/>
    <w:rsid w:val="00CB5B3D"/>
    <w:rsid w:val="00EF7DAD"/>
    <w:rsid w:val="00F1043A"/>
    <w:rsid w:val="00F2376C"/>
    <w:rsid w:val="00F96E2C"/>
    <w:rsid w:val="00FB1B4E"/>
    <w:rsid w:val="00FE41D7"/>
    <w:rsid w:val="071ADF40"/>
    <w:rsid w:val="0BCF3800"/>
    <w:rsid w:val="17D35DB6"/>
    <w:rsid w:val="273B7259"/>
    <w:rsid w:val="2A3B454D"/>
    <w:rsid w:val="352F4A4A"/>
    <w:rsid w:val="39F17E98"/>
    <w:rsid w:val="3AF7AF85"/>
    <w:rsid w:val="3DFBDDB2"/>
    <w:rsid w:val="3FFFB63F"/>
    <w:rsid w:val="463F231A"/>
    <w:rsid w:val="4C738FC9"/>
    <w:rsid w:val="4F37AF41"/>
    <w:rsid w:val="579FC372"/>
    <w:rsid w:val="57E7D1CA"/>
    <w:rsid w:val="59DED298"/>
    <w:rsid w:val="5BCF52AE"/>
    <w:rsid w:val="5C7FD6B8"/>
    <w:rsid w:val="5FEF72D3"/>
    <w:rsid w:val="627F70FB"/>
    <w:rsid w:val="66F969F9"/>
    <w:rsid w:val="67DFCB8A"/>
    <w:rsid w:val="69CD12A5"/>
    <w:rsid w:val="69DFB71B"/>
    <w:rsid w:val="6B3E7F32"/>
    <w:rsid w:val="6EFC4E09"/>
    <w:rsid w:val="6FFBEDC8"/>
    <w:rsid w:val="717C07DC"/>
    <w:rsid w:val="73E4C240"/>
    <w:rsid w:val="77A9077C"/>
    <w:rsid w:val="77DD20DD"/>
    <w:rsid w:val="7AFDEFF6"/>
    <w:rsid w:val="7BDF501A"/>
    <w:rsid w:val="7BED0882"/>
    <w:rsid w:val="7BF34D14"/>
    <w:rsid w:val="7D89F470"/>
    <w:rsid w:val="7E27B381"/>
    <w:rsid w:val="7F5F04B6"/>
    <w:rsid w:val="7F6F0E60"/>
    <w:rsid w:val="7F7F7DA2"/>
    <w:rsid w:val="7FBF92BE"/>
    <w:rsid w:val="7FFFE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C21E9-FD23-48AF-B332-F3D83CB6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p0">
    <w:name w:val="p0"/>
    <w:basedOn w:val="a"/>
    <w:qFormat/>
    <w:pPr>
      <w:widowControl/>
    </w:pPr>
    <w:rPr>
      <w:rFonts w:ascii="等线" w:eastAsia="等线" w:hAnsi="等线"/>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707</Words>
  <Characters>4034</Characters>
  <Application>Microsoft Office Word</Application>
  <DocSecurity>0</DocSecurity>
  <Lines>33</Lines>
  <Paragraphs>9</Paragraphs>
  <ScaleCrop>false</ScaleCrop>
  <Company>Lenovo (Beijing) Limited</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张霞</dc:creator>
  <cp:lastModifiedBy>石磊</cp:lastModifiedBy>
  <cp:revision>2</cp:revision>
  <cp:lastPrinted>2020-04-13T10:07:00Z</cp:lastPrinted>
  <dcterms:created xsi:type="dcterms:W3CDTF">2020-04-17T01:48:00Z</dcterms:created>
  <dcterms:modified xsi:type="dcterms:W3CDTF">2020-04-17T01:48:00Z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ies>
</file>