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30C1D">
      <w:pPr>
        <w:snapToGrid w:val="0"/>
        <w:spacing w:after="0"/>
        <w:jc w:val="center"/>
        <w:rPr>
          <w:rFonts w:eastAsia="方正小标宋简体" w:cs="Times New Roman"/>
          <w:b/>
          <w:bCs/>
          <w:sz w:val="40"/>
          <w:szCs w:val="40"/>
        </w:rPr>
      </w:pPr>
      <w:r>
        <w:rPr>
          <w:rFonts w:eastAsia="方正小标宋简体" w:cs="Times New Roman"/>
          <w:b/>
          <w:bCs/>
          <w:sz w:val="40"/>
          <w:szCs w:val="40"/>
        </w:rPr>
        <w:t>2026年度</w:t>
      </w:r>
      <w:r>
        <w:rPr>
          <w:rFonts w:hint="eastAsia" w:eastAsia="方正小标宋简体" w:cs="Times New Roman"/>
          <w:b/>
          <w:bCs/>
          <w:sz w:val="40"/>
          <w:szCs w:val="40"/>
        </w:rPr>
        <w:t>陕西省科学技术进步奖</w:t>
      </w:r>
      <w:r>
        <w:rPr>
          <w:rFonts w:eastAsia="方正小标宋简体" w:cs="Times New Roman"/>
          <w:b/>
          <w:bCs/>
          <w:sz w:val="40"/>
          <w:szCs w:val="40"/>
        </w:rPr>
        <w:t>公示信息</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712"/>
        <w:gridCol w:w="199"/>
        <w:gridCol w:w="1057"/>
        <w:gridCol w:w="1204"/>
        <w:gridCol w:w="722"/>
        <w:gridCol w:w="1014"/>
        <w:gridCol w:w="1157"/>
        <w:gridCol w:w="323"/>
        <w:gridCol w:w="690"/>
        <w:gridCol w:w="1014"/>
        <w:gridCol w:w="707"/>
        <w:gridCol w:w="705"/>
        <w:gridCol w:w="730"/>
      </w:tblGrid>
      <w:tr w14:paraId="6C0F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pct"/>
            <w:gridSpan w:val="4"/>
            <w:vAlign w:val="center"/>
          </w:tcPr>
          <w:p w14:paraId="5D445D85">
            <w:pPr>
              <w:snapToGrid w:val="0"/>
              <w:spacing w:after="0" w:line="240" w:lineRule="auto"/>
              <w:jc w:val="center"/>
              <w:rPr>
                <w:rFonts w:cs="Times New Roman" w:eastAsiaTheme="minorEastAsia"/>
                <w:b/>
                <w:bCs/>
                <w:color w:val="000000" w:themeColor="text1"/>
                <w:kern w:val="0"/>
                <w:sz w:val="24"/>
                <w14:textFill>
                  <w14:solidFill>
                    <w14:schemeClr w14:val="tx1"/>
                  </w14:solidFill>
                </w14:textFill>
              </w:rPr>
            </w:pPr>
            <w:r>
              <w:rPr>
                <w:rFonts w:hint="eastAsia" w:cs="Times New Roman" w:eastAsiaTheme="minorEastAsia"/>
                <w:b/>
                <w:bCs/>
                <w:color w:val="000000" w:themeColor="text1"/>
                <w:kern w:val="0"/>
                <w:sz w:val="24"/>
                <w14:textFill>
                  <w14:solidFill>
                    <w14:schemeClr w14:val="tx1"/>
                  </w14:solidFill>
                </w14:textFill>
              </w:rPr>
              <w:t>项目名称</w:t>
            </w:r>
          </w:p>
        </w:tc>
        <w:tc>
          <w:tcPr>
            <w:tcW w:w="3870" w:type="pct"/>
            <w:gridSpan w:val="10"/>
            <w:vAlign w:val="center"/>
          </w:tcPr>
          <w:p w14:paraId="22C49EDF">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面向复杂场景的数智化医疗决策理论模型与优化方法</w:t>
            </w:r>
          </w:p>
        </w:tc>
      </w:tr>
      <w:tr w14:paraId="4F2F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pct"/>
            <w:gridSpan w:val="4"/>
            <w:vAlign w:val="center"/>
          </w:tcPr>
          <w:p w14:paraId="2A82BF46">
            <w:pPr>
              <w:snapToGrid w:val="0"/>
              <w:spacing w:after="0" w:line="240" w:lineRule="auto"/>
              <w:jc w:val="center"/>
              <w:rPr>
                <w:rFonts w:cs="Times New Roman" w:eastAsiaTheme="minorEastAsia"/>
                <w:b/>
                <w:bCs/>
                <w:color w:val="000000" w:themeColor="text1"/>
                <w:kern w:val="0"/>
                <w:sz w:val="24"/>
                <w14:textFill>
                  <w14:solidFill>
                    <w14:schemeClr w14:val="tx1"/>
                  </w14:solidFill>
                </w14:textFill>
              </w:rPr>
            </w:pPr>
            <w:r>
              <w:rPr>
                <w:rFonts w:hint="eastAsia" w:cs="Times New Roman" w:eastAsiaTheme="minorEastAsia"/>
                <w:b/>
                <w:bCs/>
                <w:color w:val="000000" w:themeColor="text1"/>
                <w:kern w:val="0"/>
                <w:sz w:val="24"/>
                <w14:textFill>
                  <w14:solidFill>
                    <w14:schemeClr w14:val="tx1"/>
                  </w14:solidFill>
                </w14:textFill>
              </w:rPr>
              <w:t>提名者</w:t>
            </w:r>
          </w:p>
        </w:tc>
        <w:tc>
          <w:tcPr>
            <w:tcW w:w="3870" w:type="pct"/>
            <w:gridSpan w:val="10"/>
            <w:vAlign w:val="center"/>
          </w:tcPr>
          <w:p w14:paraId="74F0A67C">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陕西省教育厅</w:t>
            </w:r>
          </w:p>
        </w:tc>
      </w:tr>
      <w:tr w14:paraId="0C98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7A398B10">
            <w:pPr>
              <w:snapToGrid w:val="0"/>
              <w:spacing w:after="0" w:line="240" w:lineRule="auto"/>
              <w:jc w:val="center"/>
              <w:rPr>
                <w:rFonts w:cs="Times New Roman" w:eastAsiaTheme="minorEastAsia"/>
                <w:b/>
                <w:bCs/>
                <w:kern w:val="0"/>
                <w:sz w:val="24"/>
              </w:rPr>
            </w:pPr>
            <w:r>
              <w:rPr>
                <w:rFonts w:hint="eastAsia" w:cs="Times New Roman" w:eastAsiaTheme="minorEastAsia"/>
                <w:b/>
                <w:bCs/>
                <w:kern w:val="0"/>
                <w:sz w:val="24"/>
              </w:rPr>
              <w:t>提名意见</w:t>
            </w:r>
          </w:p>
        </w:tc>
      </w:tr>
      <w:tr w14:paraId="6612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7A6AFB6E">
            <w:pPr>
              <w:snapToGrid w:val="0"/>
              <w:spacing w:after="0" w:line="240" w:lineRule="auto"/>
              <w:ind w:firstLine="480" w:firstLineChars="200"/>
              <w:jc w:val="both"/>
              <w:rPr>
                <w:rFonts w:hint="eastAsia"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我单位认真审阅了该项目提名书及附件材料，确认全部材料真实有效，并按照要求对该项目的基本情况进行了公示，公示期间无异议。</w:t>
            </w:r>
          </w:p>
          <w:p w14:paraId="753C9595">
            <w:pPr>
              <w:snapToGrid w:val="0"/>
              <w:spacing w:after="0" w:line="240" w:lineRule="auto"/>
              <w:ind w:firstLine="480" w:firstLineChars="200"/>
              <w:jc w:val="both"/>
              <w:rPr>
                <w:rFonts w:hint="eastAsia"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该项目属于信息科学、临床医学、应用数学与管理科学的交叉研究领域。面向人民生命健康和国际学术前沿，该项目立足于真实的医疗管理实践活动，通过分析其复杂情景特征凝练出具有一般共性特征的管理科学问题，综合运用粒计算思想、大数据分析技术、决策科学理论、数学科学原理和信息科学方法，聚焦疾病早期预警、临床诊断等具体的不确定性决策问题，开展基础理论模型与应用方法研究。系统性构建了面向真实医疗复杂情景特征的智能决策理论与方法，确立了数据与知识驱动的不确定性医疗决策问题研究的基本框架体系，为求解现实复杂医疗决策问题提供了可解释性科学依据及有价值的参考方案。</w:t>
            </w:r>
          </w:p>
          <w:p w14:paraId="1F9BD82B">
            <w:pPr>
              <w:snapToGrid w:val="0"/>
              <w:spacing w:after="0" w:line="240" w:lineRule="auto"/>
              <w:ind w:firstLine="480" w:firstLineChars="200"/>
              <w:jc w:val="both"/>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根据《陕西省科学技术厅关于2026年度省科学技术奖提名工作的通知》，参照科学技术进步奖评定条件和评定标准，提名该项目参评陕西省科学技术三等奖。</w:t>
            </w:r>
          </w:p>
          <w:p w14:paraId="506BB8D9">
            <w:pPr>
              <w:snapToGrid w:val="0"/>
              <w:spacing w:after="0" w:line="240" w:lineRule="auto"/>
              <w:ind w:firstLine="480" w:firstLineChars="200"/>
              <w:jc w:val="both"/>
              <w:rPr>
                <w:rFonts w:cs="Times New Roman" w:eastAsiaTheme="minorEastAsia"/>
                <w:color w:val="000000" w:themeColor="text1"/>
                <w:kern w:val="0"/>
                <w:sz w:val="24"/>
                <w14:textFill>
                  <w14:solidFill>
                    <w14:schemeClr w14:val="tx1"/>
                  </w14:solidFill>
                </w14:textFill>
              </w:rPr>
            </w:pPr>
          </w:p>
          <w:p w14:paraId="5D9CDE8B">
            <w:pPr>
              <w:snapToGrid w:val="0"/>
              <w:spacing w:after="0" w:line="240" w:lineRule="auto"/>
              <w:ind w:firstLine="480" w:firstLineChars="200"/>
              <w:jc w:val="both"/>
              <w:rPr>
                <w:rFonts w:hint="eastAsia"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提名该项目为陕西省科学技术进步奖 三 等奖。</w:t>
            </w:r>
          </w:p>
        </w:tc>
      </w:tr>
      <w:tr w14:paraId="19E5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6CEEA2B9">
            <w:pPr>
              <w:snapToGrid w:val="0"/>
              <w:spacing w:after="0" w:line="240" w:lineRule="auto"/>
              <w:jc w:val="center"/>
              <w:rPr>
                <w:rFonts w:cs="Times New Roman" w:eastAsiaTheme="minorEastAsia"/>
                <w:b/>
                <w:bCs/>
                <w:color w:val="000000" w:themeColor="text1"/>
                <w:kern w:val="0"/>
                <w:sz w:val="24"/>
                <w14:textFill>
                  <w14:solidFill>
                    <w14:schemeClr w14:val="tx1"/>
                  </w14:solidFill>
                </w14:textFill>
              </w:rPr>
            </w:pPr>
            <w:r>
              <w:rPr>
                <w:rFonts w:cs="Times New Roman" w:eastAsiaTheme="minorEastAsia"/>
                <w:b/>
                <w:bCs/>
                <w:color w:val="000000" w:themeColor="text1"/>
                <w:kern w:val="0"/>
                <w:sz w:val="24"/>
                <w14:textFill>
                  <w14:solidFill>
                    <w14:schemeClr w14:val="tx1"/>
                  </w14:solidFill>
                </w14:textFill>
              </w:rPr>
              <w:t>主要完成人情况</w:t>
            </w:r>
          </w:p>
        </w:tc>
      </w:tr>
      <w:tr w14:paraId="0FA8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1735563E">
            <w:pPr>
              <w:snapToGrid w:val="0"/>
              <w:spacing w:after="0" w:line="240" w:lineRule="auto"/>
              <w:jc w:val="center"/>
              <w:rPr>
                <w:rFonts w:cs="Times New Roman" w:eastAsiaTheme="minorEastAsia"/>
                <w:b/>
                <w:bCs/>
                <w:kern w:val="0"/>
                <w:sz w:val="24"/>
              </w:rPr>
            </w:pPr>
            <w:r>
              <w:rPr>
                <w:rFonts w:cs="Times New Roman" w:eastAsiaTheme="minorEastAsia"/>
                <w:b/>
                <w:bCs/>
                <w:kern w:val="0"/>
                <w:sz w:val="24"/>
              </w:rPr>
              <w:t>排名</w:t>
            </w:r>
          </w:p>
        </w:tc>
        <w:tc>
          <w:tcPr>
            <w:tcW w:w="426" w:type="pct"/>
            <w:gridSpan w:val="2"/>
            <w:vAlign w:val="center"/>
          </w:tcPr>
          <w:p w14:paraId="743A4284">
            <w:pPr>
              <w:snapToGrid w:val="0"/>
              <w:spacing w:after="0" w:line="240" w:lineRule="auto"/>
              <w:jc w:val="center"/>
              <w:rPr>
                <w:rFonts w:cs="Times New Roman" w:eastAsiaTheme="minorEastAsia"/>
                <w:b/>
                <w:bCs/>
                <w:kern w:val="0"/>
                <w:sz w:val="24"/>
              </w:rPr>
            </w:pPr>
            <w:r>
              <w:rPr>
                <w:rFonts w:cs="Times New Roman" w:eastAsiaTheme="minorEastAsia"/>
                <w:b/>
                <w:bCs/>
                <w:kern w:val="0"/>
                <w:sz w:val="24"/>
              </w:rPr>
              <w:t>姓名</w:t>
            </w:r>
          </w:p>
        </w:tc>
        <w:tc>
          <w:tcPr>
            <w:tcW w:w="1058" w:type="pct"/>
            <w:gridSpan w:val="2"/>
            <w:vAlign w:val="center"/>
          </w:tcPr>
          <w:p w14:paraId="7A16B26B">
            <w:pPr>
              <w:snapToGrid w:val="0"/>
              <w:spacing w:after="0" w:line="240" w:lineRule="auto"/>
              <w:jc w:val="center"/>
              <w:rPr>
                <w:rFonts w:cs="Times New Roman" w:eastAsiaTheme="minorEastAsia"/>
                <w:b/>
                <w:bCs/>
                <w:color w:val="000000" w:themeColor="text1"/>
                <w:kern w:val="0"/>
                <w:sz w:val="24"/>
                <w14:textFill>
                  <w14:solidFill>
                    <w14:schemeClr w14:val="tx1"/>
                  </w14:solidFill>
                </w14:textFill>
              </w:rPr>
            </w:pPr>
            <w:r>
              <w:rPr>
                <w:rFonts w:cs="Times New Roman" w:eastAsiaTheme="minorEastAsia"/>
                <w:b/>
                <w:bCs/>
                <w:color w:val="000000" w:themeColor="text1"/>
                <w:kern w:val="0"/>
                <w:sz w:val="24"/>
                <w14:textFill>
                  <w14:solidFill>
                    <w14:schemeClr w14:val="tx1"/>
                  </w14:solidFill>
                </w14:textFill>
              </w:rPr>
              <w:t>技术职称</w:t>
            </w:r>
          </w:p>
        </w:tc>
        <w:tc>
          <w:tcPr>
            <w:tcW w:w="1505" w:type="pct"/>
            <w:gridSpan w:val="4"/>
            <w:vAlign w:val="center"/>
          </w:tcPr>
          <w:p w14:paraId="53C7A570">
            <w:pPr>
              <w:snapToGrid w:val="0"/>
              <w:spacing w:after="0" w:line="240" w:lineRule="auto"/>
              <w:jc w:val="center"/>
              <w:rPr>
                <w:rFonts w:cs="Times New Roman" w:eastAsiaTheme="minorEastAsia"/>
                <w:b/>
                <w:bCs/>
                <w:color w:val="000000" w:themeColor="text1"/>
                <w:kern w:val="0"/>
                <w:sz w:val="24"/>
                <w14:textFill>
                  <w14:solidFill>
                    <w14:schemeClr w14:val="tx1"/>
                  </w14:solidFill>
                </w14:textFill>
              </w:rPr>
            </w:pPr>
            <w:r>
              <w:rPr>
                <w:rFonts w:cs="Times New Roman" w:eastAsiaTheme="minorEastAsia"/>
                <w:b/>
                <w:bCs/>
                <w:color w:val="000000" w:themeColor="text1"/>
                <w:kern w:val="0"/>
                <w:sz w:val="24"/>
                <w14:textFill>
                  <w14:solidFill>
                    <w14:schemeClr w14:val="tx1"/>
                  </w14:solidFill>
                </w14:textFill>
              </w:rPr>
              <w:t>工作单位</w:t>
            </w:r>
          </w:p>
        </w:tc>
        <w:tc>
          <w:tcPr>
            <w:tcW w:w="1128" w:type="pct"/>
            <w:gridSpan w:val="3"/>
            <w:vAlign w:val="center"/>
          </w:tcPr>
          <w:p w14:paraId="2D228930">
            <w:pPr>
              <w:snapToGrid w:val="0"/>
              <w:spacing w:after="0" w:line="240" w:lineRule="auto"/>
              <w:jc w:val="center"/>
              <w:rPr>
                <w:rFonts w:cs="Times New Roman" w:eastAsiaTheme="minorEastAsia"/>
                <w:b/>
                <w:bCs/>
                <w:kern w:val="0"/>
                <w:sz w:val="24"/>
              </w:rPr>
            </w:pPr>
            <w:r>
              <w:rPr>
                <w:rFonts w:cs="Times New Roman" w:eastAsiaTheme="minorEastAsia"/>
                <w:b/>
                <w:bCs/>
                <w:color w:val="000000" w:themeColor="text1"/>
                <w:kern w:val="0"/>
                <w:sz w:val="24"/>
                <w14:textFill>
                  <w14:solidFill>
                    <w14:schemeClr w14:val="tx1"/>
                  </w14:solidFill>
                </w14:textFill>
              </w:rPr>
              <w:t>完成单位</w:t>
            </w:r>
          </w:p>
        </w:tc>
        <w:tc>
          <w:tcPr>
            <w:tcW w:w="671" w:type="pct"/>
            <w:gridSpan w:val="2"/>
            <w:vAlign w:val="center"/>
          </w:tcPr>
          <w:p w14:paraId="20F5C590">
            <w:pPr>
              <w:snapToGrid w:val="0"/>
              <w:spacing w:after="0" w:line="240" w:lineRule="auto"/>
              <w:jc w:val="center"/>
              <w:rPr>
                <w:rFonts w:cs="Times New Roman" w:eastAsiaTheme="minorEastAsia"/>
                <w:b/>
                <w:bCs/>
                <w:kern w:val="0"/>
                <w:sz w:val="24"/>
              </w:rPr>
            </w:pPr>
            <w:r>
              <w:rPr>
                <w:rFonts w:hint="eastAsia" w:cs="Times New Roman" w:eastAsiaTheme="minorEastAsia"/>
                <w:b/>
                <w:bCs/>
                <w:kern w:val="0"/>
                <w:sz w:val="24"/>
              </w:rPr>
              <w:t>工号（仅校内完成人填写）</w:t>
            </w:r>
          </w:p>
        </w:tc>
      </w:tr>
      <w:tr w14:paraId="7629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603D5941">
            <w:pPr>
              <w:snapToGrid w:val="0"/>
              <w:spacing w:after="0" w:line="240" w:lineRule="auto"/>
              <w:jc w:val="center"/>
              <w:rPr>
                <w:rFonts w:cs="Times New Roman" w:eastAsiaTheme="minorEastAsia"/>
                <w:kern w:val="0"/>
                <w:sz w:val="24"/>
              </w:rPr>
            </w:pPr>
            <w:r>
              <w:rPr>
                <w:rFonts w:cs="Times New Roman" w:eastAsiaTheme="minorEastAsia"/>
                <w:kern w:val="0"/>
                <w:sz w:val="24"/>
              </w:rPr>
              <w:t>1</w:t>
            </w:r>
          </w:p>
        </w:tc>
        <w:tc>
          <w:tcPr>
            <w:tcW w:w="426" w:type="pct"/>
            <w:gridSpan w:val="2"/>
            <w:vAlign w:val="center"/>
          </w:tcPr>
          <w:p w14:paraId="2C95F7FE">
            <w:pPr>
              <w:snapToGrid w:val="0"/>
              <w:spacing w:after="0" w:line="240" w:lineRule="auto"/>
              <w:jc w:val="center"/>
              <w:rPr>
                <w:rFonts w:cs="Times New Roman" w:eastAsiaTheme="minorEastAsia"/>
                <w:kern w:val="0"/>
                <w:sz w:val="24"/>
              </w:rPr>
            </w:pPr>
            <w:r>
              <w:rPr>
                <w:rFonts w:hint="eastAsia" w:cs="Times New Roman" w:eastAsiaTheme="minorEastAsia"/>
                <w:kern w:val="0"/>
                <w:sz w:val="24"/>
              </w:rPr>
              <w:t>孙秉珍</w:t>
            </w:r>
          </w:p>
        </w:tc>
        <w:tc>
          <w:tcPr>
            <w:tcW w:w="1058" w:type="pct"/>
            <w:gridSpan w:val="2"/>
            <w:vAlign w:val="center"/>
          </w:tcPr>
          <w:p w14:paraId="10579BE6">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教授</w:t>
            </w:r>
          </w:p>
        </w:tc>
        <w:tc>
          <w:tcPr>
            <w:tcW w:w="1505" w:type="pct"/>
            <w:gridSpan w:val="4"/>
            <w:vAlign w:val="center"/>
          </w:tcPr>
          <w:p w14:paraId="0C048B1E">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西安电子科技大学</w:t>
            </w:r>
          </w:p>
        </w:tc>
        <w:tc>
          <w:tcPr>
            <w:tcW w:w="1128" w:type="pct"/>
            <w:gridSpan w:val="3"/>
            <w:vAlign w:val="center"/>
          </w:tcPr>
          <w:p w14:paraId="2559B918">
            <w:pPr>
              <w:snapToGrid w:val="0"/>
              <w:spacing w:after="0" w:line="240" w:lineRule="auto"/>
              <w:jc w:val="center"/>
              <w:rPr>
                <w:rFonts w:cs="Times New Roman" w:eastAsiaTheme="minorEastAsia"/>
                <w:kern w:val="0"/>
                <w:sz w:val="24"/>
              </w:rPr>
            </w:pPr>
            <w:r>
              <w:rPr>
                <w:rFonts w:hint="eastAsia" w:cs="Times New Roman" w:eastAsiaTheme="minorEastAsia"/>
                <w:color w:val="000000" w:themeColor="text1"/>
                <w:kern w:val="0"/>
                <w:sz w:val="24"/>
                <w14:textFill>
                  <w14:solidFill>
                    <w14:schemeClr w14:val="tx1"/>
                  </w14:solidFill>
                </w14:textFill>
              </w:rPr>
              <w:t>西安电子科技大学</w:t>
            </w:r>
          </w:p>
        </w:tc>
        <w:tc>
          <w:tcPr>
            <w:tcW w:w="671" w:type="pct"/>
            <w:gridSpan w:val="2"/>
            <w:vAlign w:val="center"/>
          </w:tcPr>
          <w:p w14:paraId="7E1E9439">
            <w:pPr>
              <w:snapToGrid w:val="0"/>
              <w:spacing w:after="0" w:line="240" w:lineRule="auto"/>
              <w:jc w:val="center"/>
              <w:rPr>
                <w:rFonts w:cs="Times New Roman" w:eastAsiaTheme="minorEastAsia"/>
                <w:kern w:val="0"/>
                <w:sz w:val="24"/>
              </w:rPr>
            </w:pPr>
            <w:r>
              <w:rPr>
                <w:rFonts w:cs="Times New Roman" w:eastAsiaTheme="minorEastAsia"/>
                <w:kern w:val="0"/>
                <w:sz w:val="24"/>
              </w:rPr>
              <w:t>6242</w:t>
            </w:r>
          </w:p>
        </w:tc>
      </w:tr>
      <w:tr w14:paraId="6930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2954F75D">
            <w:pPr>
              <w:snapToGrid w:val="0"/>
              <w:spacing w:after="0" w:line="240" w:lineRule="auto"/>
              <w:jc w:val="center"/>
              <w:rPr>
                <w:rFonts w:cs="Times New Roman" w:eastAsiaTheme="minorEastAsia"/>
                <w:kern w:val="0"/>
                <w:sz w:val="24"/>
              </w:rPr>
            </w:pPr>
            <w:r>
              <w:rPr>
                <w:rFonts w:cs="Times New Roman" w:eastAsiaTheme="minorEastAsia"/>
                <w:kern w:val="0"/>
                <w:sz w:val="24"/>
              </w:rPr>
              <w:t>2</w:t>
            </w:r>
          </w:p>
        </w:tc>
        <w:tc>
          <w:tcPr>
            <w:tcW w:w="426" w:type="pct"/>
            <w:gridSpan w:val="2"/>
            <w:vAlign w:val="center"/>
          </w:tcPr>
          <w:p w14:paraId="3BA26528">
            <w:pPr>
              <w:snapToGrid w:val="0"/>
              <w:spacing w:after="0" w:line="240" w:lineRule="auto"/>
              <w:jc w:val="center"/>
              <w:rPr>
                <w:rFonts w:cs="Times New Roman" w:eastAsiaTheme="minorEastAsia"/>
                <w:kern w:val="0"/>
                <w:sz w:val="24"/>
              </w:rPr>
            </w:pPr>
            <w:r>
              <w:rPr>
                <w:rFonts w:hint="eastAsia" w:cs="Times New Roman" w:eastAsiaTheme="minorEastAsia"/>
                <w:kern w:val="0"/>
                <w:sz w:val="24"/>
              </w:rPr>
              <w:t>楚晓丽</w:t>
            </w:r>
          </w:p>
        </w:tc>
        <w:tc>
          <w:tcPr>
            <w:tcW w:w="1058" w:type="pct"/>
            <w:gridSpan w:val="2"/>
            <w:vAlign w:val="center"/>
          </w:tcPr>
          <w:p w14:paraId="600F761D">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副研究员</w:t>
            </w:r>
          </w:p>
        </w:tc>
        <w:tc>
          <w:tcPr>
            <w:tcW w:w="1505" w:type="pct"/>
            <w:gridSpan w:val="4"/>
            <w:vAlign w:val="center"/>
          </w:tcPr>
          <w:p w14:paraId="4C33146B">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广东省中医院</w:t>
            </w:r>
          </w:p>
        </w:tc>
        <w:tc>
          <w:tcPr>
            <w:tcW w:w="1128" w:type="pct"/>
            <w:gridSpan w:val="3"/>
            <w:vAlign w:val="center"/>
          </w:tcPr>
          <w:p w14:paraId="5EA33D90">
            <w:pPr>
              <w:snapToGrid w:val="0"/>
              <w:spacing w:after="0" w:line="240" w:lineRule="auto"/>
              <w:jc w:val="center"/>
              <w:rPr>
                <w:rFonts w:cs="Times New Roman" w:eastAsiaTheme="minorEastAsia"/>
                <w:kern w:val="0"/>
                <w:sz w:val="24"/>
              </w:rPr>
            </w:pPr>
            <w:r>
              <w:rPr>
                <w:rFonts w:hint="eastAsia" w:cs="Times New Roman" w:eastAsiaTheme="minorEastAsia"/>
                <w:color w:val="000000" w:themeColor="text1"/>
                <w:kern w:val="0"/>
                <w:sz w:val="24"/>
                <w14:textFill>
                  <w14:solidFill>
                    <w14:schemeClr w14:val="tx1"/>
                  </w14:solidFill>
                </w14:textFill>
              </w:rPr>
              <w:t>西安电子科技大学</w:t>
            </w:r>
          </w:p>
        </w:tc>
        <w:tc>
          <w:tcPr>
            <w:tcW w:w="671" w:type="pct"/>
            <w:gridSpan w:val="2"/>
            <w:vAlign w:val="center"/>
          </w:tcPr>
          <w:p w14:paraId="377D9E58">
            <w:pPr>
              <w:snapToGrid w:val="0"/>
              <w:spacing w:after="0" w:line="240" w:lineRule="auto"/>
              <w:jc w:val="center"/>
              <w:rPr>
                <w:rFonts w:cs="Times New Roman" w:eastAsiaTheme="minorEastAsia"/>
                <w:kern w:val="0"/>
                <w:sz w:val="24"/>
              </w:rPr>
            </w:pPr>
          </w:p>
        </w:tc>
      </w:tr>
      <w:tr w14:paraId="33F4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0388BB01">
            <w:pPr>
              <w:snapToGrid w:val="0"/>
              <w:spacing w:after="0" w:line="240" w:lineRule="auto"/>
              <w:jc w:val="center"/>
              <w:rPr>
                <w:rFonts w:cs="Times New Roman" w:eastAsiaTheme="minorEastAsia"/>
                <w:kern w:val="0"/>
                <w:sz w:val="24"/>
              </w:rPr>
            </w:pPr>
            <w:r>
              <w:rPr>
                <w:rFonts w:cs="Times New Roman" w:eastAsiaTheme="minorEastAsia"/>
                <w:kern w:val="0"/>
                <w:sz w:val="24"/>
              </w:rPr>
              <w:t>3</w:t>
            </w:r>
          </w:p>
        </w:tc>
        <w:tc>
          <w:tcPr>
            <w:tcW w:w="426" w:type="pct"/>
            <w:gridSpan w:val="2"/>
            <w:vAlign w:val="center"/>
          </w:tcPr>
          <w:p w14:paraId="2F7ABAD4">
            <w:pPr>
              <w:snapToGrid w:val="0"/>
              <w:spacing w:after="0" w:line="240" w:lineRule="auto"/>
              <w:jc w:val="center"/>
              <w:rPr>
                <w:rFonts w:cs="Times New Roman" w:eastAsiaTheme="minorEastAsia"/>
                <w:kern w:val="0"/>
                <w:sz w:val="24"/>
              </w:rPr>
            </w:pPr>
            <w:r>
              <w:rPr>
                <w:rFonts w:hint="eastAsia" w:cs="Times New Roman" w:eastAsiaTheme="minorEastAsia"/>
                <w:kern w:val="0"/>
                <w:sz w:val="24"/>
              </w:rPr>
              <w:t>叶进</w:t>
            </w:r>
          </w:p>
        </w:tc>
        <w:tc>
          <w:tcPr>
            <w:tcW w:w="1058" w:type="pct"/>
            <w:gridSpan w:val="2"/>
            <w:vAlign w:val="center"/>
          </w:tcPr>
          <w:p w14:paraId="125E29F7">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讲师</w:t>
            </w:r>
          </w:p>
        </w:tc>
        <w:tc>
          <w:tcPr>
            <w:tcW w:w="1505" w:type="pct"/>
            <w:gridSpan w:val="4"/>
            <w:vAlign w:val="center"/>
          </w:tcPr>
          <w:p w14:paraId="417C9F21">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安徽工程大学</w:t>
            </w:r>
          </w:p>
        </w:tc>
        <w:tc>
          <w:tcPr>
            <w:tcW w:w="1128" w:type="pct"/>
            <w:gridSpan w:val="3"/>
            <w:vAlign w:val="center"/>
          </w:tcPr>
          <w:p w14:paraId="64F189E1">
            <w:pPr>
              <w:snapToGrid w:val="0"/>
              <w:spacing w:after="0" w:line="240" w:lineRule="auto"/>
              <w:jc w:val="center"/>
              <w:rPr>
                <w:rFonts w:cs="Times New Roman" w:eastAsiaTheme="minorEastAsia"/>
                <w:kern w:val="0"/>
                <w:sz w:val="24"/>
              </w:rPr>
            </w:pPr>
            <w:r>
              <w:rPr>
                <w:rFonts w:hint="eastAsia" w:cs="Times New Roman" w:eastAsiaTheme="minorEastAsia"/>
                <w:color w:val="000000" w:themeColor="text1"/>
                <w:kern w:val="0"/>
                <w:sz w:val="24"/>
                <w14:textFill>
                  <w14:solidFill>
                    <w14:schemeClr w14:val="tx1"/>
                  </w14:solidFill>
                </w14:textFill>
              </w:rPr>
              <w:t>西安电子科技大学</w:t>
            </w:r>
          </w:p>
        </w:tc>
        <w:tc>
          <w:tcPr>
            <w:tcW w:w="671" w:type="pct"/>
            <w:gridSpan w:val="2"/>
            <w:vAlign w:val="center"/>
          </w:tcPr>
          <w:p w14:paraId="2143753A">
            <w:pPr>
              <w:snapToGrid w:val="0"/>
              <w:spacing w:after="0" w:line="240" w:lineRule="auto"/>
              <w:jc w:val="center"/>
              <w:rPr>
                <w:rFonts w:cs="Times New Roman" w:eastAsiaTheme="minorEastAsia"/>
                <w:kern w:val="0"/>
                <w:sz w:val="24"/>
              </w:rPr>
            </w:pPr>
          </w:p>
        </w:tc>
      </w:tr>
      <w:tr w14:paraId="4DC2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71BC5061">
            <w:pPr>
              <w:snapToGrid w:val="0"/>
              <w:spacing w:after="0" w:line="240" w:lineRule="auto"/>
              <w:jc w:val="center"/>
              <w:rPr>
                <w:rFonts w:cs="Times New Roman" w:eastAsiaTheme="minorEastAsia"/>
                <w:kern w:val="0"/>
                <w:sz w:val="24"/>
              </w:rPr>
            </w:pPr>
            <w:r>
              <w:rPr>
                <w:rFonts w:hint="eastAsia" w:cs="Times New Roman" w:eastAsiaTheme="minorEastAsia"/>
                <w:kern w:val="0"/>
                <w:sz w:val="24"/>
              </w:rPr>
              <w:t>4</w:t>
            </w:r>
          </w:p>
        </w:tc>
        <w:tc>
          <w:tcPr>
            <w:tcW w:w="426" w:type="pct"/>
            <w:gridSpan w:val="2"/>
            <w:vAlign w:val="center"/>
          </w:tcPr>
          <w:p w14:paraId="60648476">
            <w:pPr>
              <w:snapToGrid w:val="0"/>
              <w:spacing w:after="0" w:line="240" w:lineRule="auto"/>
              <w:jc w:val="center"/>
              <w:rPr>
                <w:rFonts w:hint="eastAsia" w:cs="Times New Roman" w:eastAsiaTheme="minorEastAsia"/>
                <w:kern w:val="0"/>
                <w:sz w:val="24"/>
              </w:rPr>
            </w:pPr>
            <w:r>
              <w:rPr>
                <w:rFonts w:hint="eastAsia" w:cs="Times New Roman" w:eastAsiaTheme="minorEastAsia"/>
                <w:kern w:val="0"/>
                <w:sz w:val="24"/>
              </w:rPr>
              <w:t>赵羲轩</w:t>
            </w:r>
          </w:p>
        </w:tc>
        <w:tc>
          <w:tcPr>
            <w:tcW w:w="1058" w:type="pct"/>
            <w:gridSpan w:val="2"/>
            <w:vAlign w:val="center"/>
          </w:tcPr>
          <w:p w14:paraId="0B3A7A03">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无</w:t>
            </w:r>
          </w:p>
        </w:tc>
        <w:tc>
          <w:tcPr>
            <w:tcW w:w="1505" w:type="pct"/>
            <w:gridSpan w:val="4"/>
            <w:vAlign w:val="center"/>
          </w:tcPr>
          <w:p w14:paraId="5D678214">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西安电子科技大学</w:t>
            </w:r>
          </w:p>
        </w:tc>
        <w:tc>
          <w:tcPr>
            <w:tcW w:w="1128" w:type="pct"/>
            <w:gridSpan w:val="3"/>
            <w:vAlign w:val="center"/>
          </w:tcPr>
          <w:p w14:paraId="66F633EC">
            <w:pPr>
              <w:snapToGrid w:val="0"/>
              <w:spacing w:after="0" w:line="240" w:lineRule="auto"/>
              <w:jc w:val="center"/>
              <w:rPr>
                <w:rFonts w:cs="Times New Roman" w:eastAsiaTheme="minorEastAsia"/>
                <w:kern w:val="0"/>
                <w:sz w:val="24"/>
              </w:rPr>
            </w:pPr>
            <w:r>
              <w:rPr>
                <w:rFonts w:hint="eastAsia" w:cs="Times New Roman" w:eastAsiaTheme="minorEastAsia"/>
                <w:color w:val="000000" w:themeColor="text1"/>
                <w:kern w:val="0"/>
                <w:sz w:val="24"/>
                <w14:textFill>
                  <w14:solidFill>
                    <w14:schemeClr w14:val="tx1"/>
                  </w14:solidFill>
                </w14:textFill>
              </w:rPr>
              <w:t>西安电子科技大学</w:t>
            </w:r>
          </w:p>
        </w:tc>
        <w:tc>
          <w:tcPr>
            <w:tcW w:w="671" w:type="pct"/>
            <w:gridSpan w:val="2"/>
            <w:vAlign w:val="center"/>
          </w:tcPr>
          <w:p w14:paraId="0E32CBD7">
            <w:pPr>
              <w:snapToGrid w:val="0"/>
              <w:spacing w:after="0" w:line="240" w:lineRule="auto"/>
              <w:jc w:val="center"/>
              <w:rPr>
                <w:rFonts w:cs="Times New Roman" w:eastAsiaTheme="minorEastAsia"/>
                <w:kern w:val="0"/>
                <w:sz w:val="24"/>
              </w:rPr>
            </w:pPr>
            <w:r>
              <w:rPr>
                <w:rFonts w:hint="eastAsia" w:cs="Times New Roman" w:eastAsiaTheme="minorEastAsia"/>
                <w:kern w:val="0"/>
                <w:sz w:val="24"/>
              </w:rPr>
              <w:t>2</w:t>
            </w:r>
            <w:r>
              <w:rPr>
                <w:rFonts w:cs="Times New Roman" w:eastAsiaTheme="minorEastAsia"/>
                <w:kern w:val="0"/>
                <w:sz w:val="24"/>
              </w:rPr>
              <w:t>3061110489</w:t>
            </w:r>
          </w:p>
        </w:tc>
      </w:tr>
      <w:tr w14:paraId="324F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3FBAEBF1">
            <w:pPr>
              <w:snapToGrid w:val="0"/>
              <w:spacing w:after="0" w:line="240" w:lineRule="auto"/>
              <w:jc w:val="center"/>
              <w:rPr>
                <w:rFonts w:cs="Times New Roman" w:eastAsiaTheme="minorEastAsia"/>
                <w:kern w:val="0"/>
                <w:sz w:val="24"/>
              </w:rPr>
            </w:pPr>
            <w:r>
              <w:rPr>
                <w:rFonts w:hint="eastAsia" w:cs="Times New Roman" w:eastAsiaTheme="minorEastAsia"/>
                <w:kern w:val="0"/>
                <w:sz w:val="24"/>
              </w:rPr>
              <w:t>5</w:t>
            </w:r>
          </w:p>
        </w:tc>
        <w:tc>
          <w:tcPr>
            <w:tcW w:w="426" w:type="pct"/>
            <w:gridSpan w:val="2"/>
            <w:vAlign w:val="center"/>
          </w:tcPr>
          <w:p w14:paraId="00FA405D">
            <w:pPr>
              <w:snapToGrid w:val="0"/>
              <w:spacing w:after="0" w:line="240" w:lineRule="auto"/>
              <w:jc w:val="center"/>
              <w:rPr>
                <w:rFonts w:hint="eastAsia" w:cs="Times New Roman" w:eastAsiaTheme="minorEastAsia"/>
                <w:kern w:val="0"/>
                <w:sz w:val="24"/>
              </w:rPr>
            </w:pPr>
            <w:r>
              <w:rPr>
                <w:rFonts w:hint="eastAsia" w:cs="Times New Roman" w:eastAsiaTheme="minorEastAsia"/>
                <w:kern w:val="0"/>
                <w:sz w:val="24"/>
              </w:rPr>
              <w:t>陈香堂</w:t>
            </w:r>
          </w:p>
        </w:tc>
        <w:tc>
          <w:tcPr>
            <w:tcW w:w="1058" w:type="pct"/>
            <w:gridSpan w:val="2"/>
            <w:vAlign w:val="center"/>
          </w:tcPr>
          <w:p w14:paraId="1B83F206">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教授</w:t>
            </w:r>
          </w:p>
        </w:tc>
        <w:tc>
          <w:tcPr>
            <w:tcW w:w="1505" w:type="pct"/>
            <w:gridSpan w:val="4"/>
            <w:vAlign w:val="center"/>
          </w:tcPr>
          <w:p w14:paraId="2FE89989">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bookmarkStart w:id="0" w:name="OLE_LINK1"/>
            <w:r>
              <w:rPr>
                <w:rFonts w:hint="eastAsia" w:cs="Times New Roman" w:eastAsiaTheme="minorEastAsia"/>
                <w:color w:val="000000" w:themeColor="text1"/>
                <w:kern w:val="0"/>
                <w:sz w:val="24"/>
                <w14:textFill>
                  <w14:solidFill>
                    <w14:schemeClr w14:val="tx1"/>
                  </w14:solidFill>
                </w14:textFill>
              </w:rPr>
              <w:t>温州理工学院</w:t>
            </w:r>
            <w:bookmarkEnd w:id="0"/>
          </w:p>
        </w:tc>
        <w:tc>
          <w:tcPr>
            <w:tcW w:w="1128" w:type="pct"/>
            <w:gridSpan w:val="3"/>
            <w:vAlign w:val="center"/>
          </w:tcPr>
          <w:p w14:paraId="0956FB72">
            <w:pPr>
              <w:snapToGrid w:val="0"/>
              <w:spacing w:after="0" w:line="240" w:lineRule="auto"/>
              <w:jc w:val="center"/>
              <w:rPr>
                <w:rFonts w:cs="Times New Roman" w:eastAsiaTheme="minorEastAsia"/>
                <w:kern w:val="0"/>
                <w:sz w:val="24"/>
              </w:rPr>
            </w:pPr>
            <w:r>
              <w:rPr>
                <w:rFonts w:hint="eastAsia" w:cs="Times New Roman" w:eastAsiaTheme="minorEastAsia"/>
                <w:color w:val="000000" w:themeColor="text1"/>
                <w:kern w:val="0"/>
                <w:sz w:val="24"/>
                <w14:textFill>
                  <w14:solidFill>
                    <w14:schemeClr w14:val="tx1"/>
                  </w14:solidFill>
                </w14:textFill>
              </w:rPr>
              <w:t>温州理工学院</w:t>
            </w:r>
          </w:p>
        </w:tc>
        <w:tc>
          <w:tcPr>
            <w:tcW w:w="671" w:type="pct"/>
            <w:gridSpan w:val="2"/>
            <w:vAlign w:val="center"/>
          </w:tcPr>
          <w:p w14:paraId="68F8F800">
            <w:pPr>
              <w:snapToGrid w:val="0"/>
              <w:spacing w:after="0" w:line="240" w:lineRule="auto"/>
              <w:jc w:val="center"/>
              <w:rPr>
                <w:rFonts w:cs="Times New Roman" w:eastAsiaTheme="minorEastAsia"/>
                <w:kern w:val="0"/>
                <w:sz w:val="24"/>
              </w:rPr>
            </w:pPr>
          </w:p>
        </w:tc>
      </w:tr>
      <w:tr w14:paraId="3511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1CD821B1">
            <w:pPr>
              <w:snapToGrid w:val="0"/>
              <w:spacing w:after="0" w:line="240" w:lineRule="auto"/>
              <w:jc w:val="center"/>
              <w:rPr>
                <w:rFonts w:cs="Times New Roman" w:eastAsiaTheme="minorEastAsia"/>
                <w:kern w:val="0"/>
                <w:sz w:val="24"/>
              </w:rPr>
            </w:pPr>
            <w:r>
              <w:rPr>
                <w:rFonts w:hint="eastAsia" w:cs="Times New Roman" w:eastAsiaTheme="minorEastAsia"/>
                <w:kern w:val="0"/>
                <w:sz w:val="24"/>
              </w:rPr>
              <w:t>6</w:t>
            </w:r>
          </w:p>
        </w:tc>
        <w:tc>
          <w:tcPr>
            <w:tcW w:w="426" w:type="pct"/>
            <w:gridSpan w:val="2"/>
            <w:vAlign w:val="center"/>
          </w:tcPr>
          <w:p w14:paraId="2A913B6C">
            <w:pPr>
              <w:snapToGrid w:val="0"/>
              <w:spacing w:after="0" w:line="240" w:lineRule="auto"/>
              <w:jc w:val="center"/>
              <w:rPr>
                <w:rFonts w:hint="eastAsia" w:cs="Times New Roman" w:eastAsiaTheme="minorEastAsia"/>
                <w:kern w:val="0"/>
                <w:sz w:val="24"/>
              </w:rPr>
            </w:pPr>
            <w:r>
              <w:rPr>
                <w:rFonts w:hint="eastAsia" w:cs="Times New Roman" w:eastAsiaTheme="minorEastAsia"/>
                <w:kern w:val="0"/>
                <w:sz w:val="24"/>
              </w:rPr>
              <w:t>王婷</w:t>
            </w:r>
          </w:p>
        </w:tc>
        <w:tc>
          <w:tcPr>
            <w:tcW w:w="1058" w:type="pct"/>
            <w:gridSpan w:val="2"/>
            <w:vAlign w:val="center"/>
          </w:tcPr>
          <w:p w14:paraId="20A179F3">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讲师</w:t>
            </w:r>
          </w:p>
        </w:tc>
        <w:tc>
          <w:tcPr>
            <w:tcW w:w="1505" w:type="pct"/>
            <w:gridSpan w:val="4"/>
            <w:vAlign w:val="center"/>
          </w:tcPr>
          <w:p w14:paraId="6DD01F57">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西安医学院</w:t>
            </w:r>
          </w:p>
        </w:tc>
        <w:tc>
          <w:tcPr>
            <w:tcW w:w="1128" w:type="pct"/>
            <w:gridSpan w:val="3"/>
            <w:vAlign w:val="center"/>
          </w:tcPr>
          <w:p w14:paraId="644F320E">
            <w:pPr>
              <w:snapToGrid w:val="0"/>
              <w:spacing w:after="0" w:line="240" w:lineRule="auto"/>
              <w:jc w:val="center"/>
              <w:rPr>
                <w:rFonts w:cs="Times New Roman" w:eastAsiaTheme="minorEastAsia"/>
                <w:kern w:val="0"/>
                <w:sz w:val="24"/>
              </w:rPr>
            </w:pPr>
            <w:r>
              <w:rPr>
                <w:rFonts w:hint="eastAsia" w:cs="Times New Roman" w:eastAsiaTheme="minorEastAsia"/>
                <w:color w:val="000000" w:themeColor="text1"/>
                <w:kern w:val="0"/>
                <w:sz w:val="24"/>
                <w14:textFill>
                  <w14:solidFill>
                    <w14:schemeClr w14:val="tx1"/>
                  </w14:solidFill>
                </w14:textFill>
              </w:rPr>
              <w:t>西安电子科技大学</w:t>
            </w:r>
          </w:p>
        </w:tc>
        <w:tc>
          <w:tcPr>
            <w:tcW w:w="671" w:type="pct"/>
            <w:gridSpan w:val="2"/>
            <w:vAlign w:val="center"/>
          </w:tcPr>
          <w:p w14:paraId="4D404131">
            <w:pPr>
              <w:snapToGrid w:val="0"/>
              <w:spacing w:after="0" w:line="240" w:lineRule="auto"/>
              <w:jc w:val="center"/>
              <w:rPr>
                <w:rFonts w:cs="Times New Roman" w:eastAsiaTheme="minorEastAsia"/>
                <w:kern w:val="0"/>
                <w:sz w:val="24"/>
              </w:rPr>
            </w:pPr>
          </w:p>
        </w:tc>
      </w:tr>
      <w:tr w14:paraId="2909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5589F85B">
            <w:pPr>
              <w:snapToGrid w:val="0"/>
              <w:spacing w:after="0" w:line="240" w:lineRule="auto"/>
              <w:jc w:val="center"/>
              <w:rPr>
                <w:rFonts w:cs="Times New Roman" w:eastAsiaTheme="minorEastAsia"/>
                <w:b/>
                <w:bCs/>
                <w:color w:val="000000" w:themeColor="text1"/>
                <w:kern w:val="0"/>
                <w:sz w:val="24"/>
                <w14:textFill>
                  <w14:solidFill>
                    <w14:schemeClr w14:val="tx1"/>
                  </w14:solidFill>
                </w14:textFill>
              </w:rPr>
            </w:pPr>
            <w:r>
              <w:rPr>
                <w:rFonts w:cs="Times New Roman" w:eastAsiaTheme="minorEastAsia"/>
                <w:b/>
                <w:bCs/>
                <w:color w:val="000000" w:themeColor="text1"/>
                <w:kern w:val="0"/>
                <w:sz w:val="24"/>
                <w14:textFill>
                  <w14:solidFill>
                    <w14:schemeClr w14:val="tx1"/>
                  </w14:solidFill>
                </w14:textFill>
              </w:rPr>
              <w:t>主要完成单位</w:t>
            </w:r>
          </w:p>
        </w:tc>
      </w:tr>
      <w:tr w14:paraId="30C9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739B9F71">
            <w:pPr>
              <w:snapToGrid w:val="0"/>
              <w:spacing w:after="0" w:line="240" w:lineRule="auto"/>
              <w:jc w:val="center"/>
              <w:rPr>
                <w:rFonts w:cs="Times New Roman" w:eastAsiaTheme="minorEastAsia"/>
                <w:b/>
                <w:bCs/>
                <w:kern w:val="0"/>
                <w:sz w:val="24"/>
              </w:rPr>
            </w:pPr>
            <w:r>
              <w:rPr>
                <w:rFonts w:cs="Times New Roman" w:eastAsiaTheme="minorEastAsia"/>
                <w:b/>
                <w:bCs/>
                <w:kern w:val="0"/>
                <w:sz w:val="24"/>
              </w:rPr>
              <w:t>排名</w:t>
            </w:r>
          </w:p>
        </w:tc>
        <w:tc>
          <w:tcPr>
            <w:tcW w:w="4791" w:type="pct"/>
            <w:gridSpan w:val="13"/>
            <w:vAlign w:val="center"/>
          </w:tcPr>
          <w:p w14:paraId="3440B0C1">
            <w:pPr>
              <w:snapToGrid w:val="0"/>
              <w:spacing w:after="0" w:line="240" w:lineRule="auto"/>
              <w:jc w:val="center"/>
              <w:rPr>
                <w:rFonts w:cs="Times New Roman" w:eastAsiaTheme="minorEastAsia"/>
                <w:b/>
                <w:bCs/>
                <w:color w:val="000000" w:themeColor="text1"/>
                <w:kern w:val="0"/>
                <w:sz w:val="24"/>
                <w14:textFill>
                  <w14:solidFill>
                    <w14:schemeClr w14:val="tx1"/>
                  </w14:solidFill>
                </w14:textFill>
              </w:rPr>
            </w:pPr>
            <w:r>
              <w:rPr>
                <w:rFonts w:hint="eastAsia" w:cs="Times New Roman" w:eastAsiaTheme="minorEastAsia"/>
                <w:b/>
                <w:bCs/>
                <w:color w:val="000000" w:themeColor="text1"/>
                <w:kern w:val="0"/>
                <w:sz w:val="24"/>
                <w14:textFill>
                  <w14:solidFill>
                    <w14:schemeClr w14:val="tx1"/>
                  </w14:solidFill>
                </w14:textFill>
              </w:rPr>
              <w:t>单位名称</w:t>
            </w:r>
          </w:p>
        </w:tc>
      </w:tr>
      <w:tr w14:paraId="5039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463C18F7">
            <w:pPr>
              <w:snapToGrid w:val="0"/>
              <w:spacing w:after="0" w:line="240" w:lineRule="auto"/>
              <w:jc w:val="center"/>
              <w:rPr>
                <w:rFonts w:cs="Times New Roman" w:eastAsiaTheme="minorEastAsia"/>
                <w:kern w:val="0"/>
                <w:sz w:val="24"/>
              </w:rPr>
            </w:pPr>
            <w:r>
              <w:rPr>
                <w:rFonts w:cs="Times New Roman" w:eastAsiaTheme="minorEastAsia"/>
                <w:kern w:val="0"/>
                <w:sz w:val="24"/>
              </w:rPr>
              <w:t>1</w:t>
            </w:r>
          </w:p>
        </w:tc>
        <w:tc>
          <w:tcPr>
            <w:tcW w:w="4791" w:type="pct"/>
            <w:gridSpan w:val="13"/>
            <w:vAlign w:val="center"/>
          </w:tcPr>
          <w:p w14:paraId="0A96A4B5">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西安电子科技大学</w:t>
            </w:r>
          </w:p>
        </w:tc>
      </w:tr>
      <w:tr w14:paraId="419C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47FA546C">
            <w:pPr>
              <w:snapToGrid w:val="0"/>
              <w:spacing w:after="0" w:line="240" w:lineRule="auto"/>
              <w:jc w:val="center"/>
              <w:rPr>
                <w:rFonts w:cs="Times New Roman" w:eastAsiaTheme="minorEastAsia"/>
                <w:kern w:val="0"/>
                <w:sz w:val="24"/>
              </w:rPr>
            </w:pPr>
            <w:r>
              <w:rPr>
                <w:rFonts w:cs="Times New Roman" w:eastAsiaTheme="minorEastAsia"/>
                <w:kern w:val="0"/>
                <w:sz w:val="24"/>
              </w:rPr>
              <w:t>2</w:t>
            </w:r>
          </w:p>
        </w:tc>
        <w:tc>
          <w:tcPr>
            <w:tcW w:w="4791" w:type="pct"/>
            <w:gridSpan w:val="13"/>
            <w:vAlign w:val="center"/>
          </w:tcPr>
          <w:p w14:paraId="69858069">
            <w:pPr>
              <w:snapToGrid w:val="0"/>
              <w:spacing w:after="0" w:line="240" w:lineRule="auto"/>
              <w:jc w:val="center"/>
              <w:rPr>
                <w:rFonts w:cs="Times New Roman" w:eastAsiaTheme="minorEastAsia"/>
                <w:color w:val="000000" w:themeColor="text1"/>
                <w:kern w:val="0"/>
                <w:sz w:val="24"/>
                <w14:textFill>
                  <w14:solidFill>
                    <w14:schemeClr w14:val="tx1"/>
                  </w14:solidFill>
                </w14:textFill>
              </w:rPr>
            </w:pPr>
            <w:r>
              <w:rPr>
                <w:rFonts w:hint="eastAsia" w:cs="Times New Roman" w:eastAsiaTheme="minorEastAsia"/>
                <w:color w:val="000000" w:themeColor="text1"/>
                <w:kern w:val="0"/>
                <w:sz w:val="24"/>
                <w14:textFill>
                  <w14:solidFill>
                    <w14:schemeClr w14:val="tx1"/>
                  </w14:solidFill>
                </w14:textFill>
              </w:rPr>
              <w:t>温州理工学院</w:t>
            </w:r>
          </w:p>
        </w:tc>
      </w:tr>
      <w:tr w14:paraId="15D0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1C887046">
            <w:pPr>
              <w:snapToGrid w:val="0"/>
              <w:spacing w:after="0" w:line="240" w:lineRule="auto"/>
              <w:jc w:val="center"/>
              <w:rPr>
                <w:rFonts w:cs="Times New Roman" w:eastAsiaTheme="minorEastAsia"/>
                <w:kern w:val="0"/>
                <w:sz w:val="24"/>
              </w:rPr>
            </w:pPr>
            <w:r>
              <w:rPr>
                <w:rFonts w:cs="Times New Roman" w:eastAsiaTheme="minorEastAsia"/>
                <w:kern w:val="0"/>
                <w:sz w:val="24"/>
              </w:rPr>
              <w:t>…</w:t>
            </w:r>
          </w:p>
        </w:tc>
        <w:tc>
          <w:tcPr>
            <w:tcW w:w="4791" w:type="pct"/>
            <w:gridSpan w:val="13"/>
            <w:vAlign w:val="center"/>
          </w:tcPr>
          <w:p w14:paraId="3947E2B4">
            <w:pPr>
              <w:snapToGrid w:val="0"/>
              <w:spacing w:after="0" w:line="240" w:lineRule="auto"/>
              <w:rPr>
                <w:rFonts w:hint="eastAsia" w:cs="Times New Roman" w:eastAsiaTheme="minorEastAsia"/>
                <w:color w:val="000000" w:themeColor="text1"/>
                <w:kern w:val="0"/>
                <w:sz w:val="24"/>
                <w14:textFill>
                  <w14:solidFill>
                    <w14:schemeClr w14:val="tx1"/>
                  </w14:solidFill>
                </w14:textFill>
              </w:rPr>
            </w:pPr>
          </w:p>
        </w:tc>
      </w:tr>
      <w:tr w14:paraId="2AA9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0C015869">
            <w:pPr>
              <w:snapToGrid w:val="0"/>
              <w:spacing w:after="0" w:line="240" w:lineRule="auto"/>
              <w:jc w:val="center"/>
              <w:rPr>
                <w:rFonts w:cs="Times New Roman" w:eastAsiaTheme="minorEastAsia"/>
                <w:b/>
                <w:bCs/>
                <w:kern w:val="0"/>
                <w:sz w:val="24"/>
              </w:rPr>
            </w:pPr>
            <w:bookmarkStart w:id="1" w:name="_GoBack"/>
            <w:bookmarkEnd w:id="1"/>
            <w:r>
              <w:rPr>
                <w:rFonts w:hint="eastAsia" w:cs="Times New Roman" w:eastAsiaTheme="minorEastAsia"/>
                <w:b/>
                <w:bCs/>
                <w:kern w:val="0"/>
                <w:sz w:val="24"/>
              </w:rPr>
              <w:t>主要知识产权和标准规范等目录</w:t>
            </w:r>
          </w:p>
        </w:tc>
      </w:tr>
      <w:tr w14:paraId="3457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3F9474F6">
            <w:pPr>
              <w:snapToGrid w:val="0"/>
              <w:spacing w:after="0" w:line="240" w:lineRule="auto"/>
              <w:jc w:val="center"/>
              <w:rPr>
                <w:rFonts w:cs="Times New Roman" w:eastAsiaTheme="minorEastAsia"/>
                <w:kern w:val="0"/>
                <w:sz w:val="24"/>
              </w:rPr>
            </w:pPr>
            <w:r>
              <w:rPr>
                <w:rFonts w:cs="Times New Roman" w:eastAsiaTheme="minorEastAsia"/>
                <w:kern w:val="0"/>
                <w:sz w:val="24"/>
              </w:rPr>
              <w:t>序号</w:t>
            </w:r>
          </w:p>
        </w:tc>
        <w:tc>
          <w:tcPr>
            <w:tcW w:w="333" w:type="pct"/>
            <w:vAlign w:val="center"/>
          </w:tcPr>
          <w:p w14:paraId="3D57D18A">
            <w:pPr>
              <w:snapToGrid w:val="0"/>
              <w:spacing w:after="0" w:line="240" w:lineRule="auto"/>
              <w:jc w:val="center"/>
              <w:rPr>
                <w:rFonts w:cs="Times New Roman" w:eastAsiaTheme="minorEastAsia"/>
                <w:kern w:val="0"/>
                <w:sz w:val="24"/>
              </w:rPr>
            </w:pPr>
            <w:r>
              <w:rPr>
                <w:rFonts w:cs="Times New Roman" w:eastAsiaTheme="minorEastAsia"/>
                <w:kern w:val="0"/>
                <w:sz w:val="24"/>
              </w:rPr>
              <w:t>知识产权</w:t>
            </w:r>
            <w:r>
              <w:rPr>
                <w:rFonts w:hint="eastAsia" w:cs="Times New Roman" w:eastAsiaTheme="minorEastAsia"/>
                <w:kern w:val="0"/>
                <w:sz w:val="24"/>
              </w:rPr>
              <w:t>（标准）</w:t>
            </w:r>
            <w:r>
              <w:rPr>
                <w:rFonts w:cs="Times New Roman" w:eastAsiaTheme="minorEastAsia"/>
                <w:kern w:val="0"/>
                <w:sz w:val="24"/>
              </w:rPr>
              <w:t>类别</w:t>
            </w:r>
          </w:p>
        </w:tc>
        <w:tc>
          <w:tcPr>
            <w:tcW w:w="1151" w:type="pct"/>
            <w:gridSpan w:val="3"/>
            <w:vAlign w:val="center"/>
          </w:tcPr>
          <w:p w14:paraId="6D0E829B">
            <w:pPr>
              <w:snapToGrid w:val="0"/>
              <w:spacing w:after="0" w:line="240" w:lineRule="auto"/>
              <w:jc w:val="center"/>
              <w:rPr>
                <w:rFonts w:cs="Times New Roman" w:eastAsiaTheme="minorEastAsia"/>
                <w:kern w:val="0"/>
                <w:sz w:val="24"/>
              </w:rPr>
            </w:pPr>
            <w:r>
              <w:rPr>
                <w:rFonts w:hint="eastAsia" w:cs="Times New Roman" w:eastAsiaTheme="minorEastAsia"/>
                <w:kern w:val="0"/>
                <w:sz w:val="24"/>
              </w:rPr>
              <w:t>知识产权（标准）具体</w:t>
            </w:r>
            <w:r>
              <w:rPr>
                <w:rFonts w:cs="Times New Roman" w:eastAsiaTheme="minorEastAsia"/>
                <w:kern w:val="0"/>
                <w:sz w:val="24"/>
              </w:rPr>
              <w:t>名称</w:t>
            </w:r>
          </w:p>
        </w:tc>
        <w:tc>
          <w:tcPr>
            <w:tcW w:w="338" w:type="pct"/>
            <w:vAlign w:val="center"/>
          </w:tcPr>
          <w:p w14:paraId="60B56E97">
            <w:pPr>
              <w:snapToGrid w:val="0"/>
              <w:spacing w:after="0" w:line="240" w:lineRule="auto"/>
              <w:jc w:val="center"/>
              <w:rPr>
                <w:rFonts w:cs="Times New Roman" w:eastAsiaTheme="minorEastAsia"/>
                <w:kern w:val="0"/>
                <w:sz w:val="24"/>
              </w:rPr>
            </w:pPr>
            <w:r>
              <w:rPr>
                <w:rFonts w:cs="Times New Roman" w:eastAsiaTheme="minorEastAsia"/>
                <w:kern w:val="0"/>
                <w:sz w:val="24"/>
              </w:rPr>
              <w:t>国</w:t>
            </w:r>
            <w:r>
              <w:rPr>
                <w:rFonts w:hint="eastAsia" w:cs="Times New Roman" w:eastAsiaTheme="minorEastAsia"/>
                <w:kern w:val="0"/>
                <w:sz w:val="24"/>
              </w:rPr>
              <w:t>家</w:t>
            </w:r>
          </w:p>
          <w:p w14:paraId="2B60817B">
            <w:pPr>
              <w:snapToGrid w:val="0"/>
              <w:spacing w:after="0" w:line="240" w:lineRule="auto"/>
              <w:jc w:val="center"/>
              <w:rPr>
                <w:rFonts w:cs="Times New Roman" w:eastAsiaTheme="minorEastAsia"/>
                <w:kern w:val="0"/>
                <w:sz w:val="24"/>
              </w:rPr>
            </w:pPr>
            <w:r>
              <w:rPr>
                <w:rFonts w:cs="Times New Roman" w:eastAsiaTheme="minorEastAsia"/>
                <w:kern w:val="0"/>
                <w:sz w:val="24"/>
              </w:rPr>
              <w:t>（</w:t>
            </w:r>
            <w:r>
              <w:rPr>
                <w:rFonts w:hint="eastAsia" w:cs="Times New Roman" w:eastAsiaTheme="minorEastAsia"/>
                <w:kern w:val="0"/>
                <w:sz w:val="24"/>
              </w:rPr>
              <w:t>地</w:t>
            </w:r>
            <w:r>
              <w:rPr>
                <w:rFonts w:cs="Times New Roman" w:eastAsiaTheme="minorEastAsia"/>
                <w:kern w:val="0"/>
                <w:sz w:val="24"/>
              </w:rPr>
              <w:t>区）</w:t>
            </w:r>
          </w:p>
        </w:tc>
        <w:tc>
          <w:tcPr>
            <w:tcW w:w="474" w:type="pct"/>
            <w:vAlign w:val="center"/>
          </w:tcPr>
          <w:p w14:paraId="3054115E">
            <w:pPr>
              <w:snapToGrid w:val="0"/>
              <w:spacing w:after="0" w:line="240" w:lineRule="auto"/>
              <w:jc w:val="center"/>
              <w:rPr>
                <w:rFonts w:cs="Times New Roman" w:eastAsiaTheme="minorEastAsia"/>
                <w:kern w:val="0"/>
                <w:sz w:val="24"/>
              </w:rPr>
            </w:pPr>
            <w:r>
              <w:rPr>
                <w:rFonts w:hint="eastAsia" w:cs="Times New Roman" w:eastAsiaTheme="minorEastAsia"/>
                <w:kern w:val="0"/>
                <w:sz w:val="24"/>
              </w:rPr>
              <w:t>授权号（标准编号）</w:t>
            </w:r>
          </w:p>
        </w:tc>
        <w:tc>
          <w:tcPr>
            <w:tcW w:w="541" w:type="pct"/>
            <w:vAlign w:val="center"/>
          </w:tcPr>
          <w:p w14:paraId="242B1A24">
            <w:pPr>
              <w:snapToGrid w:val="0"/>
              <w:spacing w:after="0" w:line="240" w:lineRule="auto"/>
              <w:jc w:val="center"/>
              <w:rPr>
                <w:rFonts w:cs="Times New Roman" w:eastAsiaTheme="minorEastAsia"/>
                <w:kern w:val="0"/>
                <w:sz w:val="24"/>
              </w:rPr>
            </w:pPr>
            <w:r>
              <w:rPr>
                <w:rFonts w:hint="eastAsia" w:cs="Times New Roman" w:eastAsiaTheme="minorEastAsia"/>
                <w:kern w:val="0"/>
                <w:sz w:val="24"/>
              </w:rPr>
              <w:t>授权（标准发布）日期</w:t>
            </w:r>
          </w:p>
        </w:tc>
        <w:tc>
          <w:tcPr>
            <w:tcW w:w="474" w:type="pct"/>
            <w:gridSpan w:val="2"/>
            <w:vAlign w:val="center"/>
          </w:tcPr>
          <w:p w14:paraId="2496AC80">
            <w:pPr>
              <w:snapToGrid w:val="0"/>
              <w:spacing w:after="0" w:line="240" w:lineRule="auto"/>
              <w:jc w:val="center"/>
              <w:rPr>
                <w:rFonts w:cs="Times New Roman" w:eastAsiaTheme="minorEastAsia"/>
                <w:kern w:val="0"/>
                <w:sz w:val="24"/>
              </w:rPr>
            </w:pPr>
            <w:r>
              <w:rPr>
                <w:rFonts w:hint="eastAsia" w:cs="Times New Roman" w:eastAsiaTheme="minorEastAsia"/>
                <w:kern w:val="0"/>
                <w:sz w:val="24"/>
              </w:rPr>
              <w:t>证书编号（标准批准发布</w:t>
            </w:r>
            <w:r>
              <w:rPr>
                <w:rFonts w:cs="Times New Roman" w:eastAsiaTheme="minorEastAsia"/>
                <w:kern w:val="0"/>
                <w:sz w:val="24"/>
              </w:rPr>
              <w:t>部门</w:t>
            </w:r>
            <w:r>
              <w:rPr>
                <w:rFonts w:hint="eastAsia" w:cs="Times New Roman" w:eastAsiaTheme="minorEastAsia"/>
                <w:kern w:val="0"/>
                <w:sz w:val="24"/>
              </w:rPr>
              <w:t>）</w:t>
            </w:r>
          </w:p>
        </w:tc>
        <w:tc>
          <w:tcPr>
            <w:tcW w:w="474" w:type="pct"/>
            <w:vAlign w:val="center"/>
          </w:tcPr>
          <w:p w14:paraId="436460AC">
            <w:pPr>
              <w:snapToGrid w:val="0"/>
              <w:spacing w:after="0" w:line="240" w:lineRule="auto"/>
              <w:jc w:val="center"/>
              <w:rPr>
                <w:rFonts w:cs="Times New Roman" w:eastAsiaTheme="minorEastAsia"/>
                <w:kern w:val="0"/>
                <w:sz w:val="24"/>
              </w:rPr>
            </w:pPr>
            <w:r>
              <w:rPr>
                <w:rFonts w:hint="eastAsia" w:cs="Times New Roman" w:eastAsiaTheme="minorEastAsia"/>
                <w:kern w:val="0"/>
                <w:sz w:val="24"/>
              </w:rPr>
              <w:t>权利人（标准起草单位）</w:t>
            </w:r>
          </w:p>
        </w:tc>
        <w:tc>
          <w:tcPr>
            <w:tcW w:w="661" w:type="pct"/>
            <w:gridSpan w:val="2"/>
            <w:vAlign w:val="center"/>
          </w:tcPr>
          <w:p w14:paraId="7CDD8CD5">
            <w:pPr>
              <w:snapToGrid w:val="0"/>
              <w:spacing w:after="0" w:line="240" w:lineRule="auto"/>
              <w:jc w:val="center"/>
              <w:rPr>
                <w:rFonts w:cs="Times New Roman" w:eastAsiaTheme="minorEastAsia"/>
                <w:kern w:val="0"/>
                <w:sz w:val="24"/>
              </w:rPr>
            </w:pPr>
            <w:r>
              <w:rPr>
                <w:rFonts w:hint="eastAsia" w:cs="Times New Roman" w:eastAsiaTheme="minorEastAsia"/>
                <w:kern w:val="0"/>
                <w:sz w:val="24"/>
              </w:rPr>
              <w:t>发明人（标准起草人）</w:t>
            </w:r>
          </w:p>
        </w:tc>
        <w:tc>
          <w:tcPr>
            <w:tcW w:w="341" w:type="pct"/>
            <w:vAlign w:val="center"/>
          </w:tcPr>
          <w:p w14:paraId="5A70CC3A">
            <w:pPr>
              <w:snapToGrid w:val="0"/>
              <w:spacing w:after="0" w:line="240" w:lineRule="auto"/>
              <w:jc w:val="center"/>
              <w:rPr>
                <w:rFonts w:cs="Times New Roman" w:eastAsiaTheme="minorEastAsia"/>
                <w:kern w:val="0"/>
                <w:sz w:val="24"/>
              </w:rPr>
            </w:pPr>
            <w:r>
              <w:rPr>
                <w:rFonts w:hint="eastAsia" w:cs="Times New Roman" w:eastAsiaTheme="minorEastAsia"/>
                <w:kern w:val="0"/>
                <w:sz w:val="24"/>
              </w:rPr>
              <w:t>发明专利（标准）有效状态</w:t>
            </w:r>
          </w:p>
        </w:tc>
      </w:tr>
      <w:tr w14:paraId="1089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21F5C6F5">
            <w:pPr>
              <w:snapToGrid w:val="0"/>
              <w:spacing w:after="0" w:line="240" w:lineRule="auto"/>
              <w:jc w:val="center"/>
              <w:rPr>
                <w:rFonts w:cs="Times New Roman" w:eastAsiaTheme="minorEastAsia"/>
                <w:kern w:val="0"/>
                <w:sz w:val="24"/>
              </w:rPr>
            </w:pPr>
            <w:r>
              <w:rPr>
                <w:rFonts w:hint="eastAsia" w:cs="Times New Roman" w:eastAsiaTheme="minorEastAsia"/>
                <w:kern w:val="0"/>
                <w:sz w:val="24"/>
              </w:rPr>
              <w:t>1</w:t>
            </w:r>
          </w:p>
        </w:tc>
        <w:tc>
          <w:tcPr>
            <w:tcW w:w="333" w:type="pct"/>
            <w:vAlign w:val="center"/>
          </w:tcPr>
          <w:p w14:paraId="6CDE5FF8">
            <w:pPr>
              <w:snapToGrid w:val="0"/>
              <w:spacing w:after="0" w:line="240" w:lineRule="auto"/>
              <w:jc w:val="both"/>
              <w:rPr>
                <w:rFonts w:cs="Times New Roman" w:eastAsiaTheme="minorEastAsia"/>
                <w:kern w:val="0"/>
                <w:sz w:val="24"/>
              </w:rPr>
            </w:pPr>
            <w:r>
              <w:rPr>
                <w:rFonts w:hint="eastAsia"/>
                <w:sz w:val="21"/>
                <w:szCs w:val="21"/>
              </w:rPr>
              <w:t>论文</w:t>
            </w:r>
          </w:p>
        </w:tc>
        <w:tc>
          <w:tcPr>
            <w:tcW w:w="1151" w:type="pct"/>
            <w:gridSpan w:val="3"/>
            <w:vAlign w:val="center"/>
          </w:tcPr>
          <w:p w14:paraId="2A14AB6D">
            <w:pPr>
              <w:snapToGrid w:val="0"/>
              <w:spacing w:after="0" w:line="240" w:lineRule="auto"/>
              <w:jc w:val="both"/>
              <w:rPr>
                <w:rFonts w:cs="Times New Roman" w:eastAsiaTheme="minorEastAsia"/>
                <w:kern w:val="0"/>
                <w:sz w:val="24"/>
              </w:rPr>
            </w:pPr>
            <w:r>
              <w:rPr>
                <w:sz w:val="21"/>
                <w:szCs w:val="21"/>
              </w:rPr>
              <w:t>A decision-making approach under uncertainty based on ensemble learning model with multimodal data and its application in medical diagnosis</w:t>
            </w:r>
          </w:p>
        </w:tc>
        <w:tc>
          <w:tcPr>
            <w:tcW w:w="338" w:type="pct"/>
            <w:vAlign w:val="center"/>
          </w:tcPr>
          <w:p w14:paraId="760131A9">
            <w:pPr>
              <w:snapToGrid w:val="0"/>
              <w:spacing w:after="0" w:line="240" w:lineRule="auto"/>
              <w:jc w:val="both"/>
              <w:rPr>
                <w:rFonts w:cs="Times New Roman" w:eastAsiaTheme="minorEastAsia"/>
                <w:kern w:val="0"/>
                <w:sz w:val="24"/>
              </w:rPr>
            </w:pPr>
            <w:r>
              <w:rPr>
                <w:rFonts w:hint="eastAsia"/>
                <w:sz w:val="21"/>
                <w:szCs w:val="21"/>
              </w:rPr>
              <w:t>中国</w:t>
            </w:r>
          </w:p>
        </w:tc>
        <w:tc>
          <w:tcPr>
            <w:tcW w:w="474" w:type="pct"/>
            <w:vAlign w:val="center"/>
          </w:tcPr>
          <w:p w14:paraId="26DB2206">
            <w:pPr>
              <w:snapToGrid w:val="0"/>
              <w:spacing w:after="0" w:line="240" w:lineRule="auto"/>
              <w:jc w:val="both"/>
              <w:rPr>
                <w:rFonts w:cs="Times New Roman" w:eastAsiaTheme="minorEastAsia"/>
                <w:kern w:val="0"/>
                <w:sz w:val="24"/>
              </w:rPr>
            </w:pPr>
            <w:r>
              <w:rPr>
                <w:sz w:val="21"/>
                <w:szCs w:val="21"/>
              </w:rPr>
              <w:t>doi.org/ 10.1016/j.eswa.2024.125983</w:t>
            </w:r>
          </w:p>
        </w:tc>
        <w:tc>
          <w:tcPr>
            <w:tcW w:w="541" w:type="pct"/>
            <w:vAlign w:val="center"/>
          </w:tcPr>
          <w:p w14:paraId="3FB4FCF2">
            <w:pPr>
              <w:snapToGrid w:val="0"/>
              <w:spacing w:after="0" w:line="240" w:lineRule="auto"/>
              <w:jc w:val="both"/>
              <w:rPr>
                <w:rFonts w:cs="Times New Roman" w:eastAsiaTheme="minorEastAsia"/>
                <w:kern w:val="0"/>
                <w:sz w:val="24"/>
              </w:rPr>
            </w:pPr>
            <w:r>
              <w:rPr>
                <w:rFonts w:hint="eastAsia"/>
                <w:sz w:val="21"/>
                <w:szCs w:val="21"/>
              </w:rPr>
              <w:t>2</w:t>
            </w:r>
            <w:r>
              <w:rPr>
                <w:sz w:val="21"/>
                <w:szCs w:val="21"/>
              </w:rPr>
              <w:t>024</w:t>
            </w:r>
            <w:r>
              <w:rPr>
                <w:rFonts w:hint="eastAsia"/>
                <w:sz w:val="21"/>
                <w:szCs w:val="21"/>
              </w:rPr>
              <w:t>年1</w:t>
            </w:r>
            <w:r>
              <w:rPr>
                <w:sz w:val="21"/>
                <w:szCs w:val="21"/>
              </w:rPr>
              <w:t>2</w:t>
            </w:r>
            <w:r>
              <w:rPr>
                <w:rFonts w:hint="eastAsia"/>
                <w:sz w:val="21"/>
                <w:szCs w:val="21"/>
              </w:rPr>
              <w:t>月4日</w:t>
            </w:r>
          </w:p>
        </w:tc>
        <w:tc>
          <w:tcPr>
            <w:tcW w:w="474" w:type="pct"/>
            <w:gridSpan w:val="2"/>
            <w:vAlign w:val="center"/>
          </w:tcPr>
          <w:p w14:paraId="1D58B5AB">
            <w:pPr>
              <w:snapToGrid w:val="0"/>
              <w:spacing w:after="0" w:line="240" w:lineRule="auto"/>
              <w:jc w:val="both"/>
              <w:rPr>
                <w:rFonts w:cs="Times New Roman" w:eastAsiaTheme="minorEastAsia"/>
                <w:kern w:val="0"/>
                <w:sz w:val="24"/>
              </w:rPr>
            </w:pPr>
            <w:r>
              <w:rPr>
                <w:sz w:val="21"/>
                <w:szCs w:val="21"/>
              </w:rPr>
              <w:t>Expert Systems With Applications</w:t>
            </w:r>
          </w:p>
        </w:tc>
        <w:tc>
          <w:tcPr>
            <w:tcW w:w="474" w:type="pct"/>
            <w:vAlign w:val="center"/>
          </w:tcPr>
          <w:p w14:paraId="6F3E2E38">
            <w:pPr>
              <w:snapToGrid w:val="0"/>
              <w:spacing w:after="0" w:line="240" w:lineRule="auto"/>
              <w:jc w:val="both"/>
              <w:rPr>
                <w:rFonts w:cs="Times New Roman" w:eastAsiaTheme="minorEastAsia"/>
                <w:kern w:val="0"/>
                <w:sz w:val="24"/>
              </w:rPr>
            </w:pPr>
            <w:r>
              <w:rPr>
                <w:rFonts w:hint="eastAsia"/>
                <w:sz w:val="21"/>
                <w:szCs w:val="21"/>
              </w:rPr>
              <w:t>西安电子科技大学</w:t>
            </w:r>
          </w:p>
        </w:tc>
        <w:tc>
          <w:tcPr>
            <w:tcW w:w="661" w:type="pct"/>
            <w:gridSpan w:val="2"/>
            <w:vAlign w:val="center"/>
          </w:tcPr>
          <w:p w14:paraId="6E462BAE">
            <w:pPr>
              <w:snapToGrid w:val="0"/>
              <w:spacing w:after="0" w:line="240" w:lineRule="auto"/>
              <w:jc w:val="both"/>
              <w:rPr>
                <w:sz w:val="21"/>
                <w:szCs w:val="21"/>
              </w:rPr>
            </w:pPr>
            <w:r>
              <w:rPr>
                <w:rFonts w:hint="eastAsia"/>
                <w:sz w:val="21"/>
                <w:szCs w:val="21"/>
              </w:rPr>
              <w:t xml:space="preserve">Xixuan Zhao, Bingzhen Sun*, Xiaoli Chu, Darong Wu, </w:t>
            </w:r>
          </w:p>
          <w:p w14:paraId="15069DF6">
            <w:pPr>
              <w:snapToGrid w:val="0"/>
              <w:spacing w:after="0" w:line="240" w:lineRule="auto"/>
              <w:jc w:val="both"/>
              <w:rPr>
                <w:sz w:val="21"/>
                <w:szCs w:val="21"/>
              </w:rPr>
            </w:pPr>
            <w:r>
              <w:rPr>
                <w:rFonts w:hint="eastAsia"/>
                <w:sz w:val="21"/>
                <w:szCs w:val="21"/>
              </w:rPr>
              <w:t xml:space="preserve">Guli Jiang, </w:t>
            </w:r>
          </w:p>
          <w:p w14:paraId="3F801706">
            <w:pPr>
              <w:snapToGrid w:val="0"/>
              <w:spacing w:after="0" w:line="240" w:lineRule="auto"/>
              <w:jc w:val="both"/>
              <w:rPr>
                <w:sz w:val="21"/>
                <w:szCs w:val="21"/>
              </w:rPr>
            </w:pPr>
            <w:r>
              <w:rPr>
                <w:rFonts w:hint="eastAsia"/>
                <w:sz w:val="21"/>
                <w:szCs w:val="21"/>
              </w:rPr>
              <w:t>Hui Zhou*, Jianxiong Cai*</w:t>
            </w:r>
          </w:p>
        </w:tc>
        <w:tc>
          <w:tcPr>
            <w:tcW w:w="341" w:type="pct"/>
            <w:vAlign w:val="center"/>
          </w:tcPr>
          <w:p w14:paraId="3000249C">
            <w:pPr>
              <w:snapToGrid w:val="0"/>
              <w:spacing w:after="0" w:line="240" w:lineRule="auto"/>
              <w:jc w:val="both"/>
              <w:rPr>
                <w:rFonts w:cs="Times New Roman" w:eastAsiaTheme="minorEastAsia"/>
                <w:kern w:val="0"/>
                <w:sz w:val="24"/>
              </w:rPr>
            </w:pPr>
          </w:p>
        </w:tc>
      </w:tr>
      <w:tr w14:paraId="70A4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7ECC66CD">
            <w:pPr>
              <w:snapToGrid w:val="0"/>
              <w:spacing w:after="0" w:line="240" w:lineRule="auto"/>
              <w:jc w:val="center"/>
              <w:rPr>
                <w:rFonts w:cs="Times New Roman" w:eastAsiaTheme="minorEastAsia"/>
                <w:kern w:val="0"/>
                <w:sz w:val="24"/>
              </w:rPr>
            </w:pPr>
            <w:r>
              <w:rPr>
                <w:rFonts w:hint="eastAsia" w:cs="Times New Roman" w:eastAsiaTheme="minorEastAsia"/>
                <w:kern w:val="0"/>
                <w:sz w:val="24"/>
              </w:rPr>
              <w:t>2</w:t>
            </w:r>
          </w:p>
        </w:tc>
        <w:tc>
          <w:tcPr>
            <w:tcW w:w="333" w:type="pct"/>
            <w:vAlign w:val="center"/>
          </w:tcPr>
          <w:p w14:paraId="0290C4A8">
            <w:pPr>
              <w:snapToGrid w:val="0"/>
              <w:spacing w:after="0" w:line="240" w:lineRule="auto"/>
              <w:jc w:val="both"/>
              <w:rPr>
                <w:rFonts w:cs="Times New Roman" w:eastAsiaTheme="minorEastAsia"/>
                <w:kern w:val="0"/>
                <w:sz w:val="24"/>
              </w:rPr>
            </w:pPr>
            <w:r>
              <w:rPr>
                <w:rFonts w:hint="eastAsia"/>
                <w:sz w:val="21"/>
                <w:szCs w:val="21"/>
              </w:rPr>
              <w:t>论文</w:t>
            </w:r>
          </w:p>
        </w:tc>
        <w:tc>
          <w:tcPr>
            <w:tcW w:w="1151" w:type="pct"/>
            <w:gridSpan w:val="3"/>
            <w:vAlign w:val="center"/>
          </w:tcPr>
          <w:p w14:paraId="06D51004">
            <w:pPr>
              <w:snapToGrid w:val="0"/>
              <w:spacing w:after="0" w:line="240" w:lineRule="auto"/>
              <w:jc w:val="both"/>
              <w:rPr>
                <w:rFonts w:cs="Times New Roman" w:eastAsiaTheme="minorEastAsia"/>
                <w:kern w:val="0"/>
                <w:sz w:val="24"/>
              </w:rPr>
            </w:pPr>
            <w:r>
              <w:rPr>
                <w:sz w:val="21"/>
                <w:szCs w:val="21"/>
              </w:rPr>
              <w:t>A preference-approval structures-based non-additive three-way group consensus decision-making approach for medical diagnosis</w:t>
            </w:r>
          </w:p>
        </w:tc>
        <w:tc>
          <w:tcPr>
            <w:tcW w:w="338" w:type="pct"/>
            <w:vAlign w:val="center"/>
          </w:tcPr>
          <w:p w14:paraId="36D418A9">
            <w:pPr>
              <w:snapToGrid w:val="0"/>
              <w:spacing w:after="0" w:line="240" w:lineRule="auto"/>
              <w:jc w:val="both"/>
              <w:rPr>
                <w:rFonts w:cs="Times New Roman" w:eastAsiaTheme="minorEastAsia"/>
                <w:kern w:val="0"/>
                <w:sz w:val="24"/>
              </w:rPr>
            </w:pPr>
            <w:r>
              <w:rPr>
                <w:rFonts w:hint="eastAsia"/>
                <w:sz w:val="21"/>
                <w:szCs w:val="21"/>
              </w:rPr>
              <w:t>中国</w:t>
            </w:r>
          </w:p>
        </w:tc>
        <w:tc>
          <w:tcPr>
            <w:tcW w:w="474" w:type="pct"/>
            <w:vAlign w:val="center"/>
          </w:tcPr>
          <w:p w14:paraId="01C2E681">
            <w:pPr>
              <w:snapToGrid w:val="0"/>
              <w:spacing w:after="0" w:line="240" w:lineRule="auto"/>
              <w:jc w:val="both"/>
              <w:rPr>
                <w:rFonts w:cs="Times New Roman" w:eastAsiaTheme="minorEastAsia"/>
                <w:kern w:val="0"/>
                <w:sz w:val="24"/>
              </w:rPr>
            </w:pPr>
            <w:r>
              <w:rPr>
                <w:sz w:val="21"/>
                <w:szCs w:val="21"/>
              </w:rPr>
              <w:t>doi.org/10.1016/j.inffus.2023.102008</w:t>
            </w:r>
          </w:p>
        </w:tc>
        <w:tc>
          <w:tcPr>
            <w:tcW w:w="541" w:type="pct"/>
            <w:vAlign w:val="center"/>
          </w:tcPr>
          <w:p w14:paraId="2D118242">
            <w:pPr>
              <w:snapToGrid w:val="0"/>
              <w:spacing w:after="0" w:line="240" w:lineRule="auto"/>
              <w:jc w:val="both"/>
              <w:rPr>
                <w:rFonts w:cs="Times New Roman" w:eastAsiaTheme="minorEastAsia"/>
                <w:kern w:val="0"/>
                <w:sz w:val="24"/>
              </w:rPr>
            </w:pPr>
            <w:r>
              <w:rPr>
                <w:rFonts w:hint="eastAsia"/>
                <w:sz w:val="21"/>
                <w:szCs w:val="21"/>
              </w:rPr>
              <w:t>2</w:t>
            </w:r>
            <w:r>
              <w:rPr>
                <w:sz w:val="21"/>
                <w:szCs w:val="21"/>
              </w:rPr>
              <w:t>023</w:t>
            </w:r>
            <w:r>
              <w:rPr>
                <w:rFonts w:hint="eastAsia"/>
                <w:sz w:val="21"/>
                <w:szCs w:val="21"/>
              </w:rPr>
              <w:t>年</w:t>
            </w:r>
            <w:r>
              <w:rPr>
                <w:sz w:val="21"/>
                <w:szCs w:val="21"/>
              </w:rPr>
              <w:t>9</w:t>
            </w:r>
            <w:r>
              <w:rPr>
                <w:rFonts w:hint="eastAsia"/>
                <w:sz w:val="21"/>
                <w:szCs w:val="21"/>
              </w:rPr>
              <w:t>月</w:t>
            </w:r>
            <w:r>
              <w:rPr>
                <w:sz w:val="21"/>
                <w:szCs w:val="21"/>
              </w:rPr>
              <w:t>9</w:t>
            </w:r>
            <w:r>
              <w:rPr>
                <w:rFonts w:hint="eastAsia"/>
                <w:sz w:val="21"/>
                <w:szCs w:val="21"/>
              </w:rPr>
              <w:t>日</w:t>
            </w:r>
          </w:p>
        </w:tc>
        <w:tc>
          <w:tcPr>
            <w:tcW w:w="474" w:type="pct"/>
            <w:gridSpan w:val="2"/>
            <w:vAlign w:val="center"/>
          </w:tcPr>
          <w:p w14:paraId="13BEFBF1">
            <w:pPr>
              <w:snapToGrid w:val="0"/>
              <w:spacing w:after="0" w:line="240" w:lineRule="auto"/>
              <w:jc w:val="both"/>
              <w:rPr>
                <w:rFonts w:cs="Times New Roman" w:eastAsiaTheme="minorEastAsia"/>
                <w:kern w:val="0"/>
                <w:sz w:val="24"/>
              </w:rPr>
            </w:pPr>
            <w:r>
              <w:rPr>
                <w:rFonts w:hint="eastAsia"/>
                <w:sz w:val="21"/>
                <w:szCs w:val="21"/>
              </w:rPr>
              <w:t>Information</w:t>
            </w:r>
            <w:r>
              <w:rPr>
                <w:sz w:val="21"/>
                <w:szCs w:val="21"/>
              </w:rPr>
              <w:t xml:space="preserve"> </w:t>
            </w:r>
            <w:r>
              <w:rPr>
                <w:rFonts w:hint="eastAsia"/>
                <w:sz w:val="21"/>
                <w:szCs w:val="21"/>
              </w:rPr>
              <w:t>Fusion</w:t>
            </w:r>
          </w:p>
        </w:tc>
        <w:tc>
          <w:tcPr>
            <w:tcW w:w="474" w:type="pct"/>
            <w:vAlign w:val="center"/>
          </w:tcPr>
          <w:p w14:paraId="20D40E7D">
            <w:pPr>
              <w:snapToGrid w:val="0"/>
              <w:spacing w:after="0" w:line="240" w:lineRule="auto"/>
              <w:jc w:val="both"/>
              <w:rPr>
                <w:rFonts w:cs="Times New Roman" w:eastAsiaTheme="minorEastAsia"/>
                <w:kern w:val="0"/>
                <w:sz w:val="24"/>
              </w:rPr>
            </w:pPr>
            <w:r>
              <w:rPr>
                <w:rFonts w:hint="eastAsia"/>
                <w:sz w:val="21"/>
                <w:szCs w:val="21"/>
              </w:rPr>
              <w:t>西安电子科技大学</w:t>
            </w:r>
          </w:p>
        </w:tc>
        <w:tc>
          <w:tcPr>
            <w:tcW w:w="661" w:type="pct"/>
            <w:gridSpan w:val="2"/>
            <w:vAlign w:val="center"/>
          </w:tcPr>
          <w:p w14:paraId="73B5203D">
            <w:pPr>
              <w:snapToGrid w:val="0"/>
              <w:spacing w:after="0" w:line="240" w:lineRule="auto"/>
              <w:jc w:val="both"/>
              <w:rPr>
                <w:sz w:val="21"/>
                <w:szCs w:val="21"/>
              </w:rPr>
            </w:pPr>
            <w:r>
              <w:rPr>
                <w:rFonts w:hint="eastAsia"/>
                <w:sz w:val="21"/>
                <w:szCs w:val="21"/>
              </w:rPr>
              <w:t xml:space="preserve">Jin Ye, </w:t>
            </w:r>
          </w:p>
          <w:p w14:paraId="06A2C497">
            <w:pPr>
              <w:snapToGrid w:val="0"/>
              <w:spacing w:after="0" w:line="240" w:lineRule="auto"/>
              <w:jc w:val="both"/>
              <w:rPr>
                <w:sz w:val="21"/>
                <w:szCs w:val="21"/>
              </w:rPr>
            </w:pPr>
            <w:r>
              <w:rPr>
                <w:rFonts w:hint="eastAsia"/>
                <w:sz w:val="21"/>
                <w:szCs w:val="21"/>
              </w:rPr>
              <w:t xml:space="preserve">Bingzhen Sun*, Juncheng Bai*, Qiang Bao, </w:t>
            </w:r>
          </w:p>
          <w:p w14:paraId="2D5C9538">
            <w:pPr>
              <w:snapToGrid w:val="0"/>
              <w:spacing w:after="0" w:line="240" w:lineRule="auto"/>
              <w:jc w:val="both"/>
              <w:rPr>
                <w:sz w:val="21"/>
                <w:szCs w:val="21"/>
              </w:rPr>
            </w:pPr>
            <w:r>
              <w:rPr>
                <w:rFonts w:hint="eastAsia"/>
                <w:sz w:val="21"/>
                <w:szCs w:val="21"/>
              </w:rPr>
              <w:t xml:space="preserve">Xiaoli Chu*, </w:t>
            </w:r>
          </w:p>
          <w:p w14:paraId="023CA542">
            <w:pPr>
              <w:snapToGrid w:val="0"/>
              <w:spacing w:after="0" w:line="240" w:lineRule="auto"/>
              <w:jc w:val="both"/>
              <w:rPr>
                <w:sz w:val="21"/>
                <w:szCs w:val="21"/>
              </w:rPr>
            </w:pPr>
            <w:r>
              <w:rPr>
                <w:rFonts w:hint="eastAsia"/>
                <w:sz w:val="21"/>
                <w:szCs w:val="21"/>
              </w:rPr>
              <w:t>Kun Bao*</w:t>
            </w:r>
          </w:p>
        </w:tc>
        <w:tc>
          <w:tcPr>
            <w:tcW w:w="341" w:type="pct"/>
            <w:vAlign w:val="center"/>
          </w:tcPr>
          <w:p w14:paraId="6B9C9244">
            <w:pPr>
              <w:snapToGrid w:val="0"/>
              <w:spacing w:after="0" w:line="240" w:lineRule="auto"/>
              <w:jc w:val="both"/>
              <w:rPr>
                <w:rFonts w:cs="Times New Roman" w:eastAsiaTheme="minorEastAsia"/>
                <w:kern w:val="0"/>
                <w:sz w:val="24"/>
              </w:rPr>
            </w:pPr>
          </w:p>
        </w:tc>
      </w:tr>
      <w:tr w14:paraId="1E70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650D9AA1">
            <w:pPr>
              <w:snapToGrid w:val="0"/>
              <w:spacing w:after="0" w:line="240" w:lineRule="auto"/>
              <w:jc w:val="center"/>
              <w:rPr>
                <w:rFonts w:cs="Times New Roman" w:eastAsiaTheme="minorEastAsia"/>
                <w:kern w:val="0"/>
                <w:sz w:val="24"/>
              </w:rPr>
            </w:pPr>
            <w:r>
              <w:rPr>
                <w:rFonts w:hint="eastAsia" w:cs="Times New Roman" w:eastAsiaTheme="minorEastAsia"/>
                <w:kern w:val="0"/>
                <w:sz w:val="24"/>
              </w:rPr>
              <w:t>3</w:t>
            </w:r>
          </w:p>
        </w:tc>
        <w:tc>
          <w:tcPr>
            <w:tcW w:w="333" w:type="pct"/>
            <w:vAlign w:val="center"/>
          </w:tcPr>
          <w:p w14:paraId="55F208CD">
            <w:pPr>
              <w:snapToGrid w:val="0"/>
              <w:spacing w:after="0" w:line="240" w:lineRule="auto"/>
              <w:jc w:val="both"/>
              <w:rPr>
                <w:rFonts w:cs="Times New Roman" w:eastAsiaTheme="minorEastAsia"/>
                <w:kern w:val="0"/>
                <w:sz w:val="24"/>
              </w:rPr>
            </w:pPr>
            <w:r>
              <w:rPr>
                <w:rFonts w:hint="eastAsia"/>
                <w:sz w:val="21"/>
                <w:szCs w:val="21"/>
              </w:rPr>
              <w:t>论文</w:t>
            </w:r>
          </w:p>
        </w:tc>
        <w:tc>
          <w:tcPr>
            <w:tcW w:w="1151" w:type="pct"/>
            <w:gridSpan w:val="3"/>
            <w:vAlign w:val="center"/>
          </w:tcPr>
          <w:p w14:paraId="4148730B">
            <w:pPr>
              <w:snapToGrid w:val="0"/>
              <w:spacing w:after="0" w:line="240" w:lineRule="auto"/>
              <w:jc w:val="both"/>
              <w:rPr>
                <w:rFonts w:cs="Times New Roman" w:eastAsiaTheme="minorEastAsia"/>
                <w:kern w:val="0"/>
                <w:sz w:val="24"/>
              </w:rPr>
            </w:pPr>
            <w:r>
              <w:rPr>
                <w:sz w:val="21"/>
                <w:szCs w:val="21"/>
              </w:rPr>
              <w:t>Neighborhood rough set-based three-way clustering considering attribute correlations: an approach to classification of potential gout groups</w:t>
            </w:r>
          </w:p>
        </w:tc>
        <w:tc>
          <w:tcPr>
            <w:tcW w:w="338" w:type="pct"/>
            <w:vAlign w:val="center"/>
          </w:tcPr>
          <w:p w14:paraId="13724D48">
            <w:pPr>
              <w:snapToGrid w:val="0"/>
              <w:spacing w:after="0" w:line="240" w:lineRule="auto"/>
              <w:jc w:val="both"/>
              <w:rPr>
                <w:rFonts w:cs="Times New Roman" w:eastAsiaTheme="minorEastAsia"/>
                <w:kern w:val="0"/>
                <w:sz w:val="24"/>
              </w:rPr>
            </w:pPr>
            <w:r>
              <w:rPr>
                <w:rFonts w:hint="eastAsia"/>
                <w:sz w:val="21"/>
                <w:szCs w:val="21"/>
              </w:rPr>
              <w:t>中国</w:t>
            </w:r>
          </w:p>
        </w:tc>
        <w:tc>
          <w:tcPr>
            <w:tcW w:w="474" w:type="pct"/>
            <w:vAlign w:val="center"/>
          </w:tcPr>
          <w:p w14:paraId="230B864B">
            <w:pPr>
              <w:snapToGrid w:val="0"/>
              <w:spacing w:after="0" w:line="240" w:lineRule="auto"/>
              <w:jc w:val="both"/>
              <w:rPr>
                <w:rFonts w:cs="Times New Roman" w:eastAsiaTheme="minorEastAsia"/>
                <w:kern w:val="0"/>
                <w:sz w:val="24"/>
              </w:rPr>
            </w:pPr>
            <w:r>
              <w:rPr>
                <w:sz w:val="21"/>
                <w:szCs w:val="21"/>
              </w:rPr>
              <w:t>doi.org/10.1016/j.ins.2020.05.039</w:t>
            </w:r>
          </w:p>
        </w:tc>
        <w:tc>
          <w:tcPr>
            <w:tcW w:w="541" w:type="pct"/>
            <w:vAlign w:val="center"/>
          </w:tcPr>
          <w:p w14:paraId="0C2BBB7F">
            <w:pPr>
              <w:snapToGrid w:val="0"/>
              <w:spacing w:after="0" w:line="240" w:lineRule="auto"/>
              <w:jc w:val="both"/>
              <w:rPr>
                <w:rFonts w:cs="Times New Roman" w:eastAsiaTheme="minorEastAsia"/>
                <w:kern w:val="0"/>
                <w:sz w:val="24"/>
              </w:rPr>
            </w:pPr>
            <w:r>
              <w:rPr>
                <w:rFonts w:hint="eastAsia"/>
                <w:sz w:val="21"/>
                <w:szCs w:val="21"/>
              </w:rPr>
              <w:t>2</w:t>
            </w:r>
            <w:r>
              <w:rPr>
                <w:sz w:val="21"/>
                <w:szCs w:val="21"/>
              </w:rPr>
              <w:t>020</w:t>
            </w:r>
            <w:r>
              <w:rPr>
                <w:rFonts w:hint="eastAsia"/>
                <w:sz w:val="21"/>
                <w:szCs w:val="21"/>
              </w:rPr>
              <w:t>年</w:t>
            </w:r>
            <w:r>
              <w:rPr>
                <w:sz w:val="21"/>
                <w:szCs w:val="21"/>
              </w:rPr>
              <w:t>5</w:t>
            </w:r>
            <w:r>
              <w:rPr>
                <w:rFonts w:hint="eastAsia"/>
                <w:sz w:val="21"/>
                <w:szCs w:val="21"/>
              </w:rPr>
              <w:t>月</w:t>
            </w:r>
            <w:r>
              <w:rPr>
                <w:sz w:val="21"/>
                <w:szCs w:val="21"/>
              </w:rPr>
              <w:t>15</w:t>
            </w:r>
            <w:r>
              <w:rPr>
                <w:rFonts w:hint="eastAsia"/>
                <w:sz w:val="21"/>
                <w:szCs w:val="21"/>
              </w:rPr>
              <w:t>日</w:t>
            </w:r>
          </w:p>
        </w:tc>
        <w:tc>
          <w:tcPr>
            <w:tcW w:w="474" w:type="pct"/>
            <w:gridSpan w:val="2"/>
            <w:vAlign w:val="center"/>
          </w:tcPr>
          <w:p w14:paraId="04C4BF39">
            <w:pPr>
              <w:snapToGrid w:val="0"/>
              <w:spacing w:after="0" w:line="240" w:lineRule="auto"/>
              <w:jc w:val="both"/>
              <w:rPr>
                <w:rFonts w:cs="Times New Roman" w:eastAsiaTheme="minorEastAsia"/>
                <w:kern w:val="0"/>
                <w:sz w:val="24"/>
              </w:rPr>
            </w:pPr>
            <w:r>
              <w:rPr>
                <w:rFonts w:hint="eastAsia"/>
                <w:sz w:val="21"/>
                <w:szCs w:val="21"/>
              </w:rPr>
              <w:t>Information</w:t>
            </w:r>
            <w:r>
              <w:rPr>
                <w:sz w:val="21"/>
                <w:szCs w:val="21"/>
              </w:rPr>
              <w:t xml:space="preserve"> </w:t>
            </w:r>
            <w:r>
              <w:rPr>
                <w:rFonts w:hint="eastAsia"/>
                <w:sz w:val="21"/>
                <w:szCs w:val="21"/>
              </w:rPr>
              <w:t>Sciences</w:t>
            </w:r>
          </w:p>
        </w:tc>
        <w:tc>
          <w:tcPr>
            <w:tcW w:w="474" w:type="pct"/>
            <w:vAlign w:val="center"/>
          </w:tcPr>
          <w:p w14:paraId="0AE89725">
            <w:pPr>
              <w:snapToGrid w:val="0"/>
              <w:spacing w:after="0" w:line="240" w:lineRule="auto"/>
              <w:jc w:val="both"/>
              <w:rPr>
                <w:rFonts w:cs="Times New Roman" w:eastAsiaTheme="minorEastAsia"/>
                <w:kern w:val="0"/>
                <w:sz w:val="24"/>
              </w:rPr>
            </w:pPr>
            <w:r>
              <w:rPr>
                <w:rFonts w:hint="eastAsia"/>
                <w:sz w:val="21"/>
                <w:szCs w:val="21"/>
              </w:rPr>
              <w:t>西安电子科技大学</w:t>
            </w:r>
          </w:p>
        </w:tc>
        <w:tc>
          <w:tcPr>
            <w:tcW w:w="661" w:type="pct"/>
            <w:gridSpan w:val="2"/>
            <w:vAlign w:val="center"/>
          </w:tcPr>
          <w:p w14:paraId="6553BFF3">
            <w:pPr>
              <w:snapToGrid w:val="0"/>
              <w:spacing w:after="0" w:line="240" w:lineRule="auto"/>
              <w:jc w:val="both"/>
              <w:rPr>
                <w:sz w:val="21"/>
                <w:szCs w:val="21"/>
              </w:rPr>
            </w:pPr>
            <w:r>
              <w:rPr>
                <w:rFonts w:hint="eastAsia"/>
                <w:sz w:val="21"/>
                <w:szCs w:val="21"/>
              </w:rPr>
              <w:t xml:space="preserve">Xiaoli Chu, Bingzhen Sun*, Xue Li, </w:t>
            </w:r>
          </w:p>
          <w:p w14:paraId="58F7B1C1">
            <w:pPr>
              <w:snapToGrid w:val="0"/>
              <w:spacing w:after="0" w:line="240" w:lineRule="auto"/>
              <w:jc w:val="both"/>
              <w:rPr>
                <w:sz w:val="21"/>
                <w:szCs w:val="21"/>
              </w:rPr>
            </w:pPr>
            <w:r>
              <w:rPr>
                <w:rFonts w:hint="eastAsia"/>
                <w:sz w:val="21"/>
                <w:szCs w:val="21"/>
              </w:rPr>
              <w:t>Keyu Han,</w:t>
            </w:r>
          </w:p>
          <w:p w14:paraId="316B2935">
            <w:pPr>
              <w:snapToGrid w:val="0"/>
              <w:spacing w:after="0" w:line="240" w:lineRule="auto"/>
              <w:jc w:val="both"/>
              <w:rPr>
                <w:sz w:val="21"/>
                <w:szCs w:val="21"/>
              </w:rPr>
            </w:pPr>
            <w:r>
              <w:rPr>
                <w:rFonts w:hint="eastAsia"/>
                <w:sz w:val="21"/>
                <w:szCs w:val="21"/>
              </w:rPr>
              <w:t xml:space="preserve">Jiaqi Wu, </w:t>
            </w:r>
          </w:p>
          <w:p w14:paraId="17FB2B14">
            <w:pPr>
              <w:snapToGrid w:val="0"/>
              <w:spacing w:after="0" w:line="240" w:lineRule="auto"/>
              <w:jc w:val="both"/>
              <w:rPr>
                <w:sz w:val="21"/>
                <w:szCs w:val="21"/>
              </w:rPr>
            </w:pPr>
            <w:r>
              <w:rPr>
                <w:rFonts w:hint="eastAsia"/>
                <w:sz w:val="21"/>
                <w:szCs w:val="21"/>
              </w:rPr>
              <w:t>Yan Zhang*, Chunqing Huang*</w:t>
            </w:r>
          </w:p>
        </w:tc>
        <w:tc>
          <w:tcPr>
            <w:tcW w:w="341" w:type="pct"/>
            <w:vAlign w:val="center"/>
          </w:tcPr>
          <w:p w14:paraId="19B0606E">
            <w:pPr>
              <w:snapToGrid w:val="0"/>
              <w:spacing w:after="0" w:line="240" w:lineRule="auto"/>
              <w:jc w:val="both"/>
              <w:rPr>
                <w:rFonts w:cs="Times New Roman" w:eastAsiaTheme="minorEastAsia"/>
                <w:kern w:val="0"/>
                <w:sz w:val="24"/>
              </w:rPr>
            </w:pPr>
          </w:p>
        </w:tc>
      </w:tr>
      <w:tr w14:paraId="1E87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4E49139F">
            <w:pPr>
              <w:snapToGrid w:val="0"/>
              <w:spacing w:after="0" w:line="240" w:lineRule="auto"/>
              <w:jc w:val="center"/>
              <w:rPr>
                <w:rFonts w:cs="Times New Roman" w:eastAsiaTheme="minorEastAsia"/>
                <w:kern w:val="0"/>
                <w:sz w:val="24"/>
              </w:rPr>
            </w:pPr>
            <w:r>
              <w:rPr>
                <w:rFonts w:hint="eastAsia" w:cs="Times New Roman" w:eastAsiaTheme="minorEastAsia"/>
                <w:kern w:val="0"/>
                <w:sz w:val="24"/>
              </w:rPr>
              <w:t>4</w:t>
            </w:r>
          </w:p>
        </w:tc>
        <w:tc>
          <w:tcPr>
            <w:tcW w:w="333" w:type="pct"/>
            <w:vAlign w:val="center"/>
          </w:tcPr>
          <w:p w14:paraId="6482AC0D">
            <w:pPr>
              <w:snapToGrid w:val="0"/>
              <w:spacing w:after="0" w:line="240" w:lineRule="auto"/>
              <w:jc w:val="both"/>
              <w:rPr>
                <w:rFonts w:cs="Times New Roman" w:eastAsiaTheme="minorEastAsia"/>
                <w:kern w:val="0"/>
                <w:sz w:val="24"/>
              </w:rPr>
            </w:pPr>
            <w:r>
              <w:rPr>
                <w:rFonts w:hint="eastAsia"/>
                <w:sz w:val="21"/>
                <w:szCs w:val="21"/>
              </w:rPr>
              <w:t>论文</w:t>
            </w:r>
          </w:p>
        </w:tc>
        <w:tc>
          <w:tcPr>
            <w:tcW w:w="1151" w:type="pct"/>
            <w:gridSpan w:val="3"/>
            <w:vAlign w:val="center"/>
          </w:tcPr>
          <w:p w14:paraId="040F6124">
            <w:pPr>
              <w:snapToGrid w:val="0"/>
              <w:spacing w:after="0" w:line="240" w:lineRule="auto"/>
              <w:jc w:val="both"/>
              <w:rPr>
                <w:rFonts w:cs="Times New Roman" w:eastAsiaTheme="minorEastAsia"/>
                <w:kern w:val="0"/>
                <w:sz w:val="24"/>
              </w:rPr>
            </w:pPr>
            <w:r>
              <w:rPr>
                <w:sz w:val="21"/>
                <w:szCs w:val="21"/>
              </w:rPr>
              <w:t>Heterogeneous multigranulation fuzzy rough set-based multiple attribute group decision making with heterogeneous preference information</w:t>
            </w:r>
          </w:p>
        </w:tc>
        <w:tc>
          <w:tcPr>
            <w:tcW w:w="338" w:type="pct"/>
            <w:vAlign w:val="center"/>
          </w:tcPr>
          <w:p w14:paraId="5D0E6390">
            <w:pPr>
              <w:snapToGrid w:val="0"/>
              <w:spacing w:after="0" w:line="240" w:lineRule="auto"/>
              <w:jc w:val="both"/>
              <w:rPr>
                <w:rFonts w:cs="Times New Roman" w:eastAsiaTheme="minorEastAsia"/>
                <w:kern w:val="0"/>
                <w:sz w:val="24"/>
              </w:rPr>
            </w:pPr>
            <w:r>
              <w:rPr>
                <w:rFonts w:hint="eastAsia"/>
                <w:sz w:val="21"/>
                <w:szCs w:val="21"/>
              </w:rPr>
              <w:t>中国</w:t>
            </w:r>
          </w:p>
        </w:tc>
        <w:tc>
          <w:tcPr>
            <w:tcW w:w="474" w:type="pct"/>
            <w:vAlign w:val="center"/>
          </w:tcPr>
          <w:p w14:paraId="0C0E8214">
            <w:pPr>
              <w:snapToGrid w:val="0"/>
              <w:spacing w:after="0" w:line="240" w:lineRule="auto"/>
              <w:jc w:val="both"/>
              <w:rPr>
                <w:rFonts w:cs="Times New Roman" w:eastAsiaTheme="minorEastAsia"/>
                <w:kern w:val="0"/>
                <w:sz w:val="24"/>
              </w:rPr>
            </w:pPr>
            <w:r>
              <w:rPr>
                <w:sz w:val="21"/>
                <w:szCs w:val="21"/>
              </w:rPr>
              <w:t>doi.org/10.1016/j.cie.2018.05.034</w:t>
            </w:r>
          </w:p>
        </w:tc>
        <w:tc>
          <w:tcPr>
            <w:tcW w:w="541" w:type="pct"/>
            <w:vAlign w:val="center"/>
          </w:tcPr>
          <w:p w14:paraId="23A0E8EC">
            <w:pPr>
              <w:snapToGrid w:val="0"/>
              <w:spacing w:after="0" w:line="240" w:lineRule="auto"/>
              <w:jc w:val="both"/>
              <w:rPr>
                <w:rFonts w:cs="Times New Roman" w:eastAsiaTheme="minorEastAsia"/>
                <w:kern w:val="0"/>
                <w:sz w:val="24"/>
              </w:rPr>
            </w:pPr>
            <w:r>
              <w:rPr>
                <w:rFonts w:hint="eastAsia"/>
                <w:sz w:val="21"/>
                <w:szCs w:val="21"/>
              </w:rPr>
              <w:t>2</w:t>
            </w:r>
            <w:r>
              <w:rPr>
                <w:sz w:val="21"/>
                <w:szCs w:val="21"/>
              </w:rPr>
              <w:t>018</w:t>
            </w:r>
            <w:r>
              <w:rPr>
                <w:rFonts w:hint="eastAsia"/>
                <w:sz w:val="21"/>
                <w:szCs w:val="21"/>
              </w:rPr>
              <w:t>年</w:t>
            </w:r>
            <w:r>
              <w:rPr>
                <w:sz w:val="21"/>
                <w:szCs w:val="21"/>
              </w:rPr>
              <w:t>5</w:t>
            </w:r>
            <w:r>
              <w:rPr>
                <w:rFonts w:hint="eastAsia"/>
                <w:sz w:val="21"/>
                <w:szCs w:val="21"/>
              </w:rPr>
              <w:t>月</w:t>
            </w:r>
            <w:r>
              <w:rPr>
                <w:sz w:val="21"/>
                <w:szCs w:val="21"/>
              </w:rPr>
              <w:t>24</w:t>
            </w:r>
            <w:r>
              <w:rPr>
                <w:rFonts w:hint="eastAsia"/>
                <w:sz w:val="21"/>
                <w:szCs w:val="21"/>
              </w:rPr>
              <w:t>日</w:t>
            </w:r>
          </w:p>
        </w:tc>
        <w:tc>
          <w:tcPr>
            <w:tcW w:w="474" w:type="pct"/>
            <w:gridSpan w:val="2"/>
            <w:vAlign w:val="center"/>
          </w:tcPr>
          <w:p w14:paraId="6F146D4A">
            <w:pPr>
              <w:snapToGrid w:val="0"/>
              <w:spacing w:after="0" w:line="240" w:lineRule="auto"/>
              <w:jc w:val="both"/>
              <w:rPr>
                <w:rFonts w:cs="Times New Roman" w:eastAsiaTheme="minorEastAsia"/>
                <w:kern w:val="0"/>
                <w:sz w:val="24"/>
              </w:rPr>
            </w:pPr>
            <w:r>
              <w:rPr>
                <w:sz w:val="21"/>
                <w:szCs w:val="21"/>
              </w:rPr>
              <w:t>Computers &amp; Industrial Engineering</w:t>
            </w:r>
          </w:p>
        </w:tc>
        <w:tc>
          <w:tcPr>
            <w:tcW w:w="474" w:type="pct"/>
            <w:vAlign w:val="center"/>
          </w:tcPr>
          <w:p w14:paraId="7DB19BA0">
            <w:pPr>
              <w:snapToGrid w:val="0"/>
              <w:spacing w:after="0" w:line="240" w:lineRule="auto"/>
              <w:jc w:val="both"/>
              <w:rPr>
                <w:rFonts w:cs="Times New Roman" w:eastAsiaTheme="minorEastAsia"/>
                <w:kern w:val="0"/>
                <w:sz w:val="24"/>
              </w:rPr>
            </w:pPr>
            <w:r>
              <w:rPr>
                <w:rFonts w:hint="eastAsia"/>
                <w:sz w:val="21"/>
                <w:szCs w:val="21"/>
              </w:rPr>
              <w:t>西安电子科技大学</w:t>
            </w:r>
          </w:p>
        </w:tc>
        <w:tc>
          <w:tcPr>
            <w:tcW w:w="661" w:type="pct"/>
            <w:gridSpan w:val="2"/>
            <w:vAlign w:val="center"/>
          </w:tcPr>
          <w:p w14:paraId="21AC511F">
            <w:pPr>
              <w:snapToGrid w:val="0"/>
              <w:spacing w:after="0" w:line="240" w:lineRule="auto"/>
              <w:jc w:val="both"/>
              <w:rPr>
                <w:rFonts w:cs="Times New Roman" w:eastAsiaTheme="minorEastAsia"/>
                <w:kern w:val="0"/>
                <w:sz w:val="24"/>
              </w:rPr>
            </w:pPr>
            <w:r>
              <w:rPr>
                <w:rFonts w:hint="eastAsia"/>
                <w:sz w:val="21"/>
                <w:szCs w:val="21"/>
              </w:rPr>
              <w:t>Bingzhen Sun, Weimin Ma*, Xiangtang Chen, Xiaonan Li</w:t>
            </w:r>
          </w:p>
        </w:tc>
        <w:tc>
          <w:tcPr>
            <w:tcW w:w="341" w:type="pct"/>
            <w:vAlign w:val="center"/>
          </w:tcPr>
          <w:p w14:paraId="6AB0DFCF">
            <w:pPr>
              <w:snapToGrid w:val="0"/>
              <w:spacing w:after="0" w:line="240" w:lineRule="auto"/>
              <w:jc w:val="both"/>
              <w:rPr>
                <w:rFonts w:cs="Times New Roman" w:eastAsiaTheme="minorEastAsia"/>
                <w:kern w:val="0"/>
                <w:sz w:val="24"/>
              </w:rPr>
            </w:pPr>
          </w:p>
        </w:tc>
      </w:tr>
      <w:tr w14:paraId="5F65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 w:type="pct"/>
            <w:vAlign w:val="center"/>
          </w:tcPr>
          <w:p w14:paraId="3D574938">
            <w:pPr>
              <w:snapToGrid w:val="0"/>
              <w:spacing w:after="0" w:line="240" w:lineRule="auto"/>
              <w:jc w:val="center"/>
              <w:rPr>
                <w:rFonts w:cs="Times New Roman" w:eastAsiaTheme="minorEastAsia"/>
                <w:kern w:val="0"/>
                <w:sz w:val="24"/>
              </w:rPr>
            </w:pPr>
            <w:r>
              <w:rPr>
                <w:rFonts w:hint="eastAsia" w:cs="Times New Roman" w:eastAsiaTheme="minorEastAsia"/>
                <w:kern w:val="0"/>
                <w:sz w:val="24"/>
              </w:rPr>
              <w:t>5</w:t>
            </w:r>
          </w:p>
        </w:tc>
        <w:tc>
          <w:tcPr>
            <w:tcW w:w="333" w:type="pct"/>
            <w:vAlign w:val="center"/>
          </w:tcPr>
          <w:p w14:paraId="58A0C6DA">
            <w:pPr>
              <w:snapToGrid w:val="0"/>
              <w:spacing w:after="0" w:line="240" w:lineRule="auto"/>
              <w:jc w:val="both"/>
              <w:rPr>
                <w:rFonts w:cs="Times New Roman" w:eastAsiaTheme="minorEastAsia"/>
                <w:kern w:val="0"/>
                <w:sz w:val="24"/>
              </w:rPr>
            </w:pPr>
            <w:r>
              <w:rPr>
                <w:rFonts w:hint="eastAsia"/>
                <w:sz w:val="21"/>
                <w:szCs w:val="21"/>
              </w:rPr>
              <w:t>论文</w:t>
            </w:r>
          </w:p>
        </w:tc>
        <w:tc>
          <w:tcPr>
            <w:tcW w:w="1151" w:type="pct"/>
            <w:gridSpan w:val="3"/>
            <w:vAlign w:val="center"/>
          </w:tcPr>
          <w:p w14:paraId="2AF98D69">
            <w:pPr>
              <w:snapToGrid w:val="0"/>
              <w:spacing w:after="0" w:line="240" w:lineRule="auto"/>
              <w:jc w:val="both"/>
              <w:rPr>
                <w:rFonts w:cs="Times New Roman" w:eastAsiaTheme="minorEastAsia"/>
                <w:kern w:val="0"/>
                <w:sz w:val="24"/>
              </w:rPr>
            </w:pPr>
            <w:r>
              <w:rPr>
                <w:rFonts w:hint="eastAsia"/>
                <w:sz w:val="21"/>
                <w:szCs w:val="21"/>
              </w:rPr>
              <w:t>融合粗糙集与GRA的异构信息多准则三支推荐及其在医疗推荐中的应用</w:t>
            </w:r>
          </w:p>
        </w:tc>
        <w:tc>
          <w:tcPr>
            <w:tcW w:w="338" w:type="pct"/>
            <w:vAlign w:val="center"/>
          </w:tcPr>
          <w:p w14:paraId="42B2C46B">
            <w:pPr>
              <w:snapToGrid w:val="0"/>
              <w:spacing w:after="0" w:line="240" w:lineRule="auto"/>
              <w:jc w:val="both"/>
              <w:rPr>
                <w:rFonts w:cs="Times New Roman" w:eastAsiaTheme="minorEastAsia"/>
                <w:kern w:val="0"/>
                <w:sz w:val="24"/>
              </w:rPr>
            </w:pPr>
            <w:r>
              <w:rPr>
                <w:rFonts w:hint="eastAsia"/>
                <w:sz w:val="21"/>
                <w:szCs w:val="21"/>
              </w:rPr>
              <w:t>中国</w:t>
            </w:r>
          </w:p>
        </w:tc>
        <w:tc>
          <w:tcPr>
            <w:tcW w:w="474" w:type="pct"/>
            <w:vAlign w:val="center"/>
          </w:tcPr>
          <w:p w14:paraId="5F261D74">
            <w:pPr>
              <w:snapToGrid w:val="0"/>
              <w:spacing w:after="0" w:line="240" w:lineRule="auto"/>
              <w:jc w:val="both"/>
              <w:rPr>
                <w:rFonts w:cs="Times New Roman" w:eastAsiaTheme="minorEastAsia"/>
                <w:kern w:val="0"/>
                <w:sz w:val="24"/>
              </w:rPr>
            </w:pPr>
            <w:r>
              <w:rPr>
                <w:sz w:val="21"/>
                <w:szCs w:val="21"/>
              </w:rPr>
              <w:t>doi.org/</w:t>
            </w:r>
            <w:r>
              <w:t xml:space="preserve"> </w:t>
            </w:r>
            <w:r>
              <w:rPr>
                <w:sz w:val="21"/>
                <w:szCs w:val="21"/>
              </w:rPr>
              <w:t>10.13195/j.kzyjc.2020.1631</w:t>
            </w:r>
          </w:p>
        </w:tc>
        <w:tc>
          <w:tcPr>
            <w:tcW w:w="541" w:type="pct"/>
            <w:vAlign w:val="center"/>
          </w:tcPr>
          <w:p w14:paraId="5444CA26">
            <w:pPr>
              <w:snapToGrid w:val="0"/>
              <w:spacing w:after="0" w:line="240" w:lineRule="auto"/>
              <w:jc w:val="both"/>
              <w:rPr>
                <w:rFonts w:cs="Times New Roman" w:eastAsiaTheme="minorEastAsia"/>
                <w:kern w:val="0"/>
                <w:sz w:val="24"/>
              </w:rPr>
            </w:pPr>
            <w:r>
              <w:rPr>
                <w:rFonts w:hint="eastAsia"/>
                <w:sz w:val="21"/>
                <w:szCs w:val="21"/>
              </w:rPr>
              <w:t>2</w:t>
            </w:r>
            <w:r>
              <w:rPr>
                <w:sz w:val="21"/>
                <w:szCs w:val="21"/>
              </w:rPr>
              <w:t>021</w:t>
            </w:r>
            <w:r>
              <w:rPr>
                <w:rFonts w:hint="eastAsia"/>
                <w:sz w:val="21"/>
                <w:szCs w:val="21"/>
              </w:rPr>
              <w:t>年</w:t>
            </w:r>
            <w:r>
              <w:rPr>
                <w:sz w:val="21"/>
                <w:szCs w:val="21"/>
              </w:rPr>
              <w:t>6</w:t>
            </w:r>
            <w:r>
              <w:rPr>
                <w:rFonts w:hint="eastAsia"/>
                <w:sz w:val="21"/>
                <w:szCs w:val="21"/>
              </w:rPr>
              <w:t>月</w:t>
            </w:r>
            <w:r>
              <w:rPr>
                <w:sz w:val="21"/>
                <w:szCs w:val="21"/>
              </w:rPr>
              <w:t>22</w:t>
            </w:r>
            <w:r>
              <w:rPr>
                <w:rFonts w:hint="eastAsia"/>
                <w:sz w:val="21"/>
                <w:szCs w:val="21"/>
              </w:rPr>
              <w:t>日</w:t>
            </w:r>
          </w:p>
        </w:tc>
        <w:tc>
          <w:tcPr>
            <w:tcW w:w="474" w:type="pct"/>
            <w:gridSpan w:val="2"/>
            <w:vAlign w:val="center"/>
          </w:tcPr>
          <w:p w14:paraId="6E0BF9EE">
            <w:pPr>
              <w:snapToGrid w:val="0"/>
              <w:spacing w:after="0" w:line="240" w:lineRule="auto"/>
              <w:jc w:val="both"/>
              <w:rPr>
                <w:rFonts w:cs="Times New Roman" w:eastAsiaTheme="minorEastAsia"/>
                <w:kern w:val="0"/>
                <w:sz w:val="24"/>
              </w:rPr>
            </w:pPr>
            <w:r>
              <w:rPr>
                <w:rFonts w:hint="eastAsia"/>
                <w:sz w:val="21"/>
                <w:szCs w:val="21"/>
              </w:rPr>
              <w:t>控制与决策</w:t>
            </w:r>
          </w:p>
        </w:tc>
        <w:tc>
          <w:tcPr>
            <w:tcW w:w="474" w:type="pct"/>
            <w:vAlign w:val="center"/>
          </w:tcPr>
          <w:p w14:paraId="5C800F67">
            <w:pPr>
              <w:snapToGrid w:val="0"/>
              <w:spacing w:after="0" w:line="240" w:lineRule="auto"/>
              <w:jc w:val="both"/>
              <w:rPr>
                <w:rFonts w:cs="Times New Roman" w:eastAsiaTheme="minorEastAsia"/>
                <w:kern w:val="0"/>
                <w:sz w:val="24"/>
              </w:rPr>
            </w:pPr>
            <w:r>
              <w:rPr>
                <w:rFonts w:hint="eastAsia"/>
                <w:sz w:val="21"/>
                <w:szCs w:val="21"/>
              </w:rPr>
              <w:t>西安电子科技大学</w:t>
            </w:r>
          </w:p>
        </w:tc>
        <w:tc>
          <w:tcPr>
            <w:tcW w:w="661" w:type="pct"/>
            <w:gridSpan w:val="2"/>
            <w:vAlign w:val="center"/>
          </w:tcPr>
          <w:p w14:paraId="37DBCAA5">
            <w:pPr>
              <w:snapToGrid w:val="0"/>
              <w:spacing w:after="0" w:line="240" w:lineRule="auto"/>
              <w:jc w:val="both"/>
              <w:rPr>
                <w:rFonts w:cs="Times New Roman" w:eastAsiaTheme="minorEastAsia"/>
                <w:kern w:val="0"/>
                <w:sz w:val="24"/>
              </w:rPr>
            </w:pPr>
            <w:r>
              <w:rPr>
                <w:rFonts w:hint="eastAsia"/>
                <w:sz w:val="21"/>
                <w:szCs w:val="21"/>
              </w:rPr>
              <w:t>张萌, 孙秉珍*, 王婷, 楚晓丽, 同思蓉</w:t>
            </w:r>
          </w:p>
        </w:tc>
        <w:tc>
          <w:tcPr>
            <w:tcW w:w="341" w:type="pct"/>
            <w:vAlign w:val="center"/>
          </w:tcPr>
          <w:p w14:paraId="05F9E8D2">
            <w:pPr>
              <w:snapToGrid w:val="0"/>
              <w:spacing w:after="0" w:line="240" w:lineRule="auto"/>
              <w:jc w:val="both"/>
              <w:rPr>
                <w:rFonts w:cs="Times New Roman" w:eastAsiaTheme="minorEastAsia"/>
                <w:kern w:val="0"/>
                <w:sz w:val="24"/>
              </w:rPr>
            </w:pPr>
          </w:p>
        </w:tc>
      </w:tr>
      <w:tr w14:paraId="19F7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08" w:type="pct"/>
            <w:vAlign w:val="center"/>
          </w:tcPr>
          <w:p w14:paraId="542D9FD2">
            <w:pPr>
              <w:snapToGrid w:val="0"/>
              <w:spacing w:after="0" w:line="240" w:lineRule="auto"/>
              <w:jc w:val="center"/>
              <w:rPr>
                <w:rFonts w:cs="Times New Roman" w:eastAsiaTheme="minorEastAsia"/>
                <w:kern w:val="0"/>
                <w:sz w:val="24"/>
              </w:rPr>
            </w:pPr>
          </w:p>
        </w:tc>
        <w:tc>
          <w:tcPr>
            <w:tcW w:w="333" w:type="pct"/>
            <w:vAlign w:val="center"/>
          </w:tcPr>
          <w:p w14:paraId="7559156D">
            <w:pPr>
              <w:snapToGrid w:val="0"/>
              <w:spacing w:after="0" w:line="240" w:lineRule="auto"/>
              <w:jc w:val="both"/>
              <w:rPr>
                <w:rFonts w:cs="Times New Roman" w:eastAsiaTheme="minorEastAsia"/>
                <w:kern w:val="0"/>
                <w:sz w:val="24"/>
              </w:rPr>
            </w:pPr>
          </w:p>
        </w:tc>
        <w:tc>
          <w:tcPr>
            <w:tcW w:w="1151" w:type="pct"/>
            <w:gridSpan w:val="3"/>
            <w:vAlign w:val="center"/>
          </w:tcPr>
          <w:p w14:paraId="7597E424">
            <w:pPr>
              <w:snapToGrid w:val="0"/>
              <w:spacing w:after="0" w:line="240" w:lineRule="auto"/>
              <w:jc w:val="both"/>
              <w:rPr>
                <w:rFonts w:cs="Times New Roman" w:eastAsiaTheme="minorEastAsia"/>
                <w:kern w:val="0"/>
                <w:sz w:val="24"/>
              </w:rPr>
            </w:pPr>
          </w:p>
        </w:tc>
        <w:tc>
          <w:tcPr>
            <w:tcW w:w="338" w:type="pct"/>
            <w:vAlign w:val="center"/>
          </w:tcPr>
          <w:p w14:paraId="5F18287F">
            <w:pPr>
              <w:snapToGrid w:val="0"/>
              <w:spacing w:after="0" w:line="240" w:lineRule="auto"/>
              <w:jc w:val="both"/>
              <w:rPr>
                <w:rFonts w:cs="Times New Roman" w:eastAsiaTheme="minorEastAsia"/>
                <w:kern w:val="0"/>
                <w:sz w:val="24"/>
              </w:rPr>
            </w:pPr>
          </w:p>
        </w:tc>
        <w:tc>
          <w:tcPr>
            <w:tcW w:w="474" w:type="pct"/>
            <w:vAlign w:val="center"/>
          </w:tcPr>
          <w:p w14:paraId="3CD66DDF">
            <w:pPr>
              <w:snapToGrid w:val="0"/>
              <w:spacing w:after="0" w:line="240" w:lineRule="auto"/>
              <w:jc w:val="both"/>
              <w:rPr>
                <w:rFonts w:cs="Times New Roman" w:eastAsiaTheme="minorEastAsia"/>
                <w:kern w:val="0"/>
                <w:sz w:val="24"/>
              </w:rPr>
            </w:pPr>
          </w:p>
        </w:tc>
        <w:tc>
          <w:tcPr>
            <w:tcW w:w="541" w:type="pct"/>
            <w:vAlign w:val="center"/>
          </w:tcPr>
          <w:p w14:paraId="0941E6C5">
            <w:pPr>
              <w:snapToGrid w:val="0"/>
              <w:spacing w:after="0" w:line="240" w:lineRule="auto"/>
              <w:jc w:val="both"/>
              <w:rPr>
                <w:rFonts w:cs="Times New Roman" w:eastAsiaTheme="minorEastAsia"/>
                <w:kern w:val="0"/>
                <w:sz w:val="24"/>
              </w:rPr>
            </w:pPr>
          </w:p>
        </w:tc>
        <w:tc>
          <w:tcPr>
            <w:tcW w:w="474" w:type="pct"/>
            <w:gridSpan w:val="2"/>
            <w:vAlign w:val="center"/>
          </w:tcPr>
          <w:p w14:paraId="403ED67A">
            <w:pPr>
              <w:snapToGrid w:val="0"/>
              <w:spacing w:after="0" w:line="240" w:lineRule="auto"/>
              <w:jc w:val="both"/>
              <w:rPr>
                <w:rFonts w:cs="Times New Roman" w:eastAsiaTheme="minorEastAsia"/>
                <w:kern w:val="0"/>
                <w:sz w:val="24"/>
              </w:rPr>
            </w:pPr>
          </w:p>
        </w:tc>
        <w:tc>
          <w:tcPr>
            <w:tcW w:w="474" w:type="pct"/>
            <w:vAlign w:val="center"/>
          </w:tcPr>
          <w:p w14:paraId="45B6E807">
            <w:pPr>
              <w:snapToGrid w:val="0"/>
              <w:spacing w:after="0" w:line="240" w:lineRule="auto"/>
              <w:jc w:val="both"/>
              <w:rPr>
                <w:rFonts w:cs="Times New Roman" w:eastAsiaTheme="minorEastAsia"/>
                <w:kern w:val="0"/>
                <w:sz w:val="24"/>
              </w:rPr>
            </w:pPr>
          </w:p>
        </w:tc>
        <w:tc>
          <w:tcPr>
            <w:tcW w:w="661" w:type="pct"/>
            <w:gridSpan w:val="2"/>
            <w:vAlign w:val="center"/>
          </w:tcPr>
          <w:p w14:paraId="14F028FD">
            <w:pPr>
              <w:snapToGrid w:val="0"/>
              <w:spacing w:after="0" w:line="240" w:lineRule="auto"/>
              <w:jc w:val="both"/>
              <w:rPr>
                <w:rFonts w:cs="Times New Roman" w:eastAsiaTheme="minorEastAsia"/>
                <w:kern w:val="0"/>
                <w:sz w:val="24"/>
              </w:rPr>
            </w:pPr>
          </w:p>
        </w:tc>
        <w:tc>
          <w:tcPr>
            <w:tcW w:w="341" w:type="pct"/>
            <w:vAlign w:val="center"/>
          </w:tcPr>
          <w:p w14:paraId="5C614095">
            <w:pPr>
              <w:snapToGrid w:val="0"/>
              <w:spacing w:after="0" w:line="240" w:lineRule="auto"/>
              <w:jc w:val="both"/>
              <w:rPr>
                <w:rFonts w:cs="Times New Roman" w:eastAsiaTheme="minorEastAsia"/>
                <w:kern w:val="0"/>
                <w:sz w:val="24"/>
              </w:rPr>
            </w:pPr>
          </w:p>
        </w:tc>
      </w:tr>
      <w:tr w14:paraId="6D65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5520FBB7">
            <w:pPr>
              <w:snapToGrid w:val="0"/>
              <w:spacing w:after="0" w:line="240" w:lineRule="auto"/>
              <w:jc w:val="center"/>
              <w:rPr>
                <w:rFonts w:cs="Times New Roman" w:eastAsiaTheme="minorEastAsia"/>
                <w:kern w:val="0"/>
                <w:sz w:val="24"/>
              </w:rPr>
            </w:pPr>
            <w:r>
              <w:rPr>
                <w:rFonts w:hint="eastAsia" w:cs="Times New Roman" w:eastAsiaTheme="minorEastAsia"/>
                <w:b/>
                <w:bCs/>
                <w:kern w:val="0"/>
                <w:sz w:val="24"/>
              </w:rPr>
              <w:t>客观评价</w:t>
            </w:r>
          </w:p>
        </w:tc>
      </w:tr>
      <w:tr w14:paraId="5B79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trPr>
        <w:tc>
          <w:tcPr>
            <w:tcW w:w="5000" w:type="pct"/>
            <w:gridSpan w:val="14"/>
            <w:vAlign w:val="center"/>
          </w:tcPr>
          <w:p w14:paraId="02E2F392">
            <w:pPr>
              <w:widowControl w:val="0"/>
              <w:spacing w:before="217" w:beforeLines="50" w:after="217" w:afterLines="50" w:line="420" w:lineRule="exact"/>
              <w:jc w:val="both"/>
              <w:rPr>
                <w:rFonts w:eastAsia="宋体" w:cs="Times New Roman"/>
                <w:b/>
                <w:bCs/>
                <w:sz w:val="24"/>
              </w:rPr>
            </w:pPr>
            <w:r>
              <w:rPr>
                <w:rFonts w:hint="eastAsia" w:eastAsia="宋体" w:cs="Times New Roman"/>
                <w:b/>
                <w:bCs/>
                <w:sz w:val="24"/>
              </w:rPr>
              <w:t>（一）科技创新一的代表性评价</w:t>
            </w:r>
          </w:p>
          <w:p w14:paraId="57A6CD5A">
            <w:pPr>
              <w:widowControl w:val="0"/>
              <w:spacing w:after="0" w:line="420" w:lineRule="exact"/>
              <w:ind w:firstLine="480" w:firstLineChars="200"/>
              <w:jc w:val="both"/>
              <w:rPr>
                <w:rFonts w:hint="eastAsia" w:eastAsia="宋体" w:cs="Times New Roman"/>
                <w:sz w:val="24"/>
              </w:rPr>
            </w:pPr>
            <w:r>
              <w:rPr>
                <w:rFonts w:hint="eastAsia" w:eastAsia="宋体" w:cs="Times New Roman"/>
                <w:sz w:val="24"/>
              </w:rPr>
              <w:t>代表性论文</w:t>
            </w:r>
            <w:r>
              <w:rPr>
                <w:rFonts w:eastAsia="宋体" w:cs="Times New Roman"/>
                <w:sz w:val="24"/>
              </w:rPr>
              <w:t>[1]</w:t>
            </w:r>
            <w:r>
              <w:rPr>
                <w:rFonts w:hint="eastAsia" w:ascii="仿宋_GB2312" w:eastAsia="宋体" w:cs="Times New Roman"/>
                <w:sz w:val="24"/>
                <w:szCs w:val="20"/>
              </w:rPr>
              <w:t>针对目前已有研究只能对特定的疾病进行辅助诊断决策，不能对患者之间的相关性进行挖掘与解析，缺乏有效的数据分析与知识发现的手段与工具，存在泛化性差且具有一定的主观性等不足，</w:t>
            </w:r>
            <w:r>
              <w:rPr>
                <w:rFonts w:hint="eastAsia" w:eastAsia="宋体" w:cs="Times New Roman"/>
                <w:sz w:val="24"/>
              </w:rPr>
              <w:t>提出了多模态多属性信息视角下基于集成学习的临床辅助诊断决策模型与方法，目前累计他引6次。南京信息工程大学巩在武教授在国际权威期刊</w:t>
            </w:r>
            <w:r>
              <w:rPr>
                <w:rFonts w:hint="eastAsia" w:eastAsia="宋体" w:cs="Times New Roman"/>
                <w:b/>
                <w:bCs/>
                <w:i/>
                <w:iCs/>
                <w:sz w:val="24"/>
              </w:rPr>
              <w:t>Expert Systems with Applications</w:t>
            </w:r>
            <w:r>
              <w:rPr>
                <w:rFonts w:hint="eastAsia" w:eastAsia="宋体" w:cs="Times New Roman"/>
                <w:b/>
                <w:bCs/>
                <w:sz w:val="24"/>
              </w:rPr>
              <w:t xml:space="preserve"> </w:t>
            </w:r>
            <w:r>
              <w:rPr>
                <w:rFonts w:eastAsia="宋体" w:cs="Times New Roman"/>
                <w:b/>
                <w:bCs/>
                <w:sz w:val="24"/>
              </w:rPr>
              <w:t>331</w:t>
            </w:r>
            <w:r>
              <w:rPr>
                <w:rFonts w:hint="eastAsia" w:eastAsia="宋体" w:cs="Times New Roman"/>
                <w:b/>
                <w:bCs/>
                <w:sz w:val="24"/>
              </w:rPr>
              <w:t xml:space="preserve"> (</w:t>
            </w:r>
            <w:r>
              <w:rPr>
                <w:rFonts w:eastAsia="宋体" w:cs="Times New Roman"/>
                <w:b/>
                <w:bCs/>
                <w:sz w:val="24"/>
              </w:rPr>
              <w:t>2026</w:t>
            </w:r>
            <w:r>
              <w:rPr>
                <w:rFonts w:hint="eastAsia" w:eastAsia="宋体" w:cs="Times New Roman"/>
                <w:b/>
                <w:bCs/>
                <w:sz w:val="24"/>
              </w:rPr>
              <w:t xml:space="preserve">) </w:t>
            </w:r>
            <w:r>
              <w:rPr>
                <w:rFonts w:eastAsia="宋体" w:cs="Times New Roman"/>
                <w:b/>
                <w:bCs/>
                <w:sz w:val="24"/>
              </w:rPr>
              <w:t>133111</w:t>
            </w:r>
            <w:r>
              <w:rPr>
                <w:rFonts w:hint="eastAsia" w:eastAsia="宋体" w:cs="Times New Roman"/>
                <w:sz w:val="24"/>
              </w:rPr>
              <w:t>上发表的论文指出“</w:t>
            </w:r>
            <w:r>
              <w:rPr>
                <w:rFonts w:eastAsia="宋体" w:cs="Times New Roman"/>
                <w:sz w:val="24"/>
              </w:rPr>
              <w:t>To identify these complex structures, a range of methods have been developed, including topology-based approaches such as the Clique Percolation Method (CPM) (Zhao et al., 2025)</w:t>
            </w:r>
            <w:r>
              <w:rPr>
                <w:rFonts w:eastAsia="宋体" w:cs="Times New Roman"/>
                <w:b/>
                <w:bCs/>
                <w:sz w:val="24"/>
              </w:rPr>
              <w:t>(</w:t>
            </w:r>
            <w:r>
              <w:rPr>
                <w:rFonts w:hint="eastAsia" w:eastAsia="宋体" w:cs="Times New Roman"/>
                <w:b/>
                <w:bCs/>
                <w:sz w:val="24"/>
              </w:rPr>
              <w:t>即代表性论文[</w:t>
            </w:r>
            <w:r>
              <w:rPr>
                <w:rFonts w:eastAsia="宋体" w:cs="Times New Roman"/>
                <w:b/>
                <w:bCs/>
                <w:sz w:val="24"/>
              </w:rPr>
              <w:t>1</w:t>
            </w:r>
            <w:r>
              <w:rPr>
                <w:rFonts w:hint="eastAsia" w:eastAsia="宋体" w:cs="Times New Roman"/>
                <w:b/>
                <w:bCs/>
                <w:sz w:val="24"/>
              </w:rPr>
              <w:t>])</w:t>
            </w:r>
            <w:r>
              <w:rPr>
                <w:rFonts w:hint="eastAsia" w:eastAsia="宋体" w:cs="Times New Roman"/>
                <w:sz w:val="24"/>
              </w:rPr>
              <w:t>”，认为代表性论文</w:t>
            </w:r>
            <w:r>
              <w:rPr>
                <w:rFonts w:eastAsia="宋体" w:cs="Times New Roman"/>
                <w:sz w:val="24"/>
              </w:rPr>
              <w:t>[1]</w:t>
            </w:r>
            <w:r>
              <w:rPr>
                <w:rFonts w:hint="eastAsia" w:eastAsia="宋体" w:cs="Times New Roman"/>
                <w:sz w:val="24"/>
              </w:rPr>
              <w:t>是基于拓扑学方法解决复杂不确定决策问题的代表性成果。</w:t>
            </w:r>
          </w:p>
          <w:p w14:paraId="3520E112">
            <w:pPr>
              <w:widowControl w:val="0"/>
              <w:spacing w:after="0" w:line="420" w:lineRule="exact"/>
              <w:ind w:firstLine="480" w:firstLineChars="200"/>
              <w:jc w:val="both"/>
              <w:rPr>
                <w:rFonts w:hint="eastAsia" w:eastAsia="宋体" w:cs="Times New Roman"/>
                <w:sz w:val="24"/>
              </w:rPr>
            </w:pPr>
            <w:r>
              <w:rPr>
                <w:rFonts w:hint="eastAsia" w:eastAsia="宋体" w:cs="Times New Roman"/>
                <w:sz w:val="24"/>
              </w:rPr>
              <w:t>代表性论文[</w:t>
            </w:r>
            <w:r>
              <w:rPr>
                <w:rFonts w:eastAsia="宋体" w:cs="Times New Roman"/>
                <w:sz w:val="24"/>
              </w:rPr>
              <w:t>2</w:t>
            </w:r>
            <w:r>
              <w:rPr>
                <w:rFonts w:hint="eastAsia" w:eastAsia="宋体" w:cs="Times New Roman"/>
                <w:sz w:val="24"/>
              </w:rPr>
              <w:t>]针对中西医结合临床诊断中专家知识结构多样化、数据类型差异化的难题，提出了一种基于偏好-认可结构的非加性三支群决策共识模型。该研究有效解决了医疗诊断过程中复杂评价信息的融合与共识达成问题。该成果自正式发表累计他引</w:t>
            </w:r>
            <w:r>
              <w:rPr>
                <w:rFonts w:eastAsia="宋体" w:cs="Times New Roman"/>
                <w:sz w:val="24"/>
              </w:rPr>
              <w:t>34</w:t>
            </w:r>
            <w:r>
              <w:rPr>
                <w:rFonts w:hint="eastAsia" w:eastAsia="宋体" w:cs="Times New Roman"/>
                <w:sz w:val="24"/>
              </w:rPr>
              <w:t>次。国家级教学名师、国防科技大学系统工程学院谭跃进教授（享受国务院政府特殊津贴、装备体系工程专家）在国际权威期刊</w:t>
            </w:r>
            <w:r>
              <w:rPr>
                <w:rFonts w:hint="eastAsia" w:eastAsia="宋体" w:cs="Times New Roman"/>
                <w:b/>
                <w:bCs/>
                <w:i/>
                <w:iCs/>
                <w:sz w:val="24"/>
              </w:rPr>
              <w:t>Expert Systems with Applications</w:t>
            </w:r>
            <w:r>
              <w:rPr>
                <w:rFonts w:hint="eastAsia" w:eastAsia="宋体" w:cs="Times New Roman"/>
                <w:b/>
                <w:bCs/>
                <w:sz w:val="24"/>
              </w:rPr>
              <w:t xml:space="preserve"> 239 (2024) 122352</w:t>
            </w:r>
            <w:r>
              <w:rPr>
                <w:rFonts w:hint="eastAsia" w:eastAsia="宋体" w:cs="Times New Roman"/>
                <w:sz w:val="24"/>
              </w:rPr>
              <w:t xml:space="preserve"> 上发表的论文指出代表性论文[</w:t>
            </w:r>
            <w:r>
              <w:rPr>
                <w:rFonts w:eastAsia="宋体" w:cs="Times New Roman"/>
                <w:sz w:val="24"/>
              </w:rPr>
              <w:t>2</w:t>
            </w:r>
            <w:r>
              <w:rPr>
                <w:rFonts w:hint="eastAsia" w:eastAsia="宋体" w:cs="Times New Roman"/>
                <w:sz w:val="24"/>
              </w:rPr>
              <w:t>]构建的基于偏好-认可结构的三支群决策共识方法是解决医疗诊断中专家群体偏好融合与决策共识达成问题的先进模型。 国家自然科学基金会评专家、黑龙江省工业与应用数学学会副理事长、哈尔滨工程大学理学院邓廷权教授在国际权威期刊</w:t>
            </w:r>
            <w:r>
              <w:rPr>
                <w:rFonts w:hint="eastAsia" w:eastAsia="宋体" w:cs="Times New Roman"/>
                <w:i/>
                <w:iCs/>
                <w:sz w:val="24"/>
              </w:rPr>
              <w:t xml:space="preserve"> </w:t>
            </w:r>
            <w:r>
              <w:rPr>
                <w:rFonts w:hint="eastAsia" w:eastAsia="宋体" w:cs="Times New Roman"/>
                <w:b/>
                <w:bCs/>
                <w:i/>
                <w:iCs/>
                <w:sz w:val="24"/>
              </w:rPr>
              <w:t>Information Fusion</w:t>
            </w:r>
            <w:r>
              <w:rPr>
                <w:rFonts w:hint="eastAsia" w:eastAsia="宋体" w:cs="Times New Roman"/>
                <w:b/>
                <w:bCs/>
                <w:sz w:val="24"/>
              </w:rPr>
              <w:t xml:space="preserve"> 126 (2026) 103538</w:t>
            </w:r>
            <w:r>
              <w:rPr>
                <w:rFonts w:hint="eastAsia" w:eastAsia="宋体" w:cs="Times New Roman"/>
                <w:sz w:val="24"/>
              </w:rPr>
              <w:t xml:space="preserve"> 上发表论文中重点指出代表性论文[</w:t>
            </w:r>
            <w:r>
              <w:rPr>
                <w:rFonts w:eastAsia="宋体" w:cs="Times New Roman"/>
                <w:sz w:val="24"/>
              </w:rPr>
              <w:t>2</w:t>
            </w:r>
            <w:r>
              <w:rPr>
                <w:rFonts w:hint="eastAsia" w:eastAsia="宋体" w:cs="Times New Roman"/>
                <w:sz w:val="24"/>
              </w:rPr>
              <w:t>]通过非加性三支决策模型有效提升了医疗诊断决策的科学性，并认为该研究通过定义模糊测度捕捉属性间的交互关系， 为理性行为建模与非线性测度融合提供了精细化的粒化建模方案。</w:t>
            </w:r>
          </w:p>
          <w:p w14:paraId="4967452F">
            <w:pPr>
              <w:widowControl w:val="0"/>
              <w:spacing w:before="217" w:beforeLines="50" w:after="217" w:afterLines="50" w:line="420" w:lineRule="exact"/>
              <w:jc w:val="both"/>
              <w:rPr>
                <w:rFonts w:hint="eastAsia" w:eastAsia="宋体" w:cs="Times New Roman"/>
                <w:b/>
                <w:bCs/>
                <w:sz w:val="24"/>
              </w:rPr>
            </w:pPr>
            <w:r>
              <w:rPr>
                <w:rFonts w:hint="eastAsia" w:eastAsia="宋体" w:cs="Times New Roman"/>
                <w:b/>
                <w:bCs/>
                <w:sz w:val="24"/>
              </w:rPr>
              <w:t>（二）科技创新二的代表性评价</w:t>
            </w:r>
          </w:p>
          <w:p w14:paraId="19D5E728">
            <w:pPr>
              <w:widowControl w:val="0"/>
              <w:spacing w:after="0" w:line="420" w:lineRule="exact"/>
              <w:ind w:firstLine="480" w:firstLineChars="200"/>
              <w:jc w:val="both"/>
              <w:rPr>
                <w:rFonts w:eastAsia="宋体" w:cs="Times New Roman"/>
                <w:sz w:val="24"/>
              </w:rPr>
            </w:pPr>
            <w:r>
              <w:rPr>
                <w:rFonts w:hint="eastAsia" w:eastAsia="宋体" w:cs="Times New Roman"/>
                <w:sz w:val="24"/>
              </w:rPr>
              <w:t>代表性论文[</w:t>
            </w:r>
            <w:r>
              <w:rPr>
                <w:rFonts w:eastAsia="宋体" w:cs="Times New Roman"/>
                <w:sz w:val="24"/>
              </w:rPr>
              <w:t>3</w:t>
            </w:r>
            <w:r>
              <w:rPr>
                <w:rFonts w:hint="eastAsia" w:eastAsia="宋体" w:cs="Times New Roman"/>
                <w:sz w:val="24"/>
              </w:rPr>
              <w:t>]面向医疗实践中的真实问题， 构建了数据和知识相融合的粒计算基础理论模型，论文的发表受到了广泛的关注，累计他引</w:t>
            </w:r>
            <w:r>
              <w:rPr>
                <w:rFonts w:eastAsia="宋体" w:cs="Times New Roman"/>
                <w:sz w:val="24"/>
              </w:rPr>
              <w:t>86</w:t>
            </w:r>
            <w:r>
              <w:rPr>
                <w:rFonts w:hint="eastAsia" w:eastAsia="宋体" w:cs="Times New Roman"/>
                <w:sz w:val="24"/>
              </w:rPr>
              <w:t xml:space="preserve">次。IEEE高级会员， CCF高级会员，南通大学信息科学技术学院院长丁卫平教授在计算机类top 期刊 </w:t>
            </w:r>
            <w:r>
              <w:rPr>
                <w:rFonts w:hint="eastAsia" w:eastAsia="宋体" w:cs="Times New Roman"/>
                <w:b/>
                <w:bCs/>
                <w:i/>
                <w:iCs/>
                <w:sz w:val="24"/>
              </w:rPr>
              <w:t>IEEE Transactions on Neural Networks and Learning Systems</w:t>
            </w:r>
            <w:r>
              <w:rPr>
                <w:rFonts w:hint="eastAsia" w:eastAsia="宋体" w:cs="Times New Roman"/>
                <w:b/>
                <w:bCs/>
                <w:sz w:val="24"/>
              </w:rPr>
              <w:t xml:space="preserve"> 36(1)</w:t>
            </w:r>
            <w:r>
              <w:rPr>
                <w:rFonts w:eastAsia="宋体" w:cs="Times New Roman"/>
                <w:b/>
                <w:bCs/>
                <w:sz w:val="24"/>
              </w:rPr>
              <w:t xml:space="preserve"> </w:t>
            </w:r>
            <w:r>
              <w:rPr>
                <w:rFonts w:hint="eastAsia" w:eastAsia="宋体" w:cs="Times New Roman"/>
                <w:b/>
                <w:bCs/>
                <w:sz w:val="24"/>
              </w:rPr>
              <w:t>(2025)</w:t>
            </w:r>
            <w:r>
              <w:rPr>
                <w:rFonts w:eastAsia="宋体" w:cs="Times New Roman"/>
                <w:b/>
                <w:bCs/>
                <w:sz w:val="24"/>
              </w:rPr>
              <w:t xml:space="preserve"> </w:t>
            </w:r>
            <w:r>
              <w:rPr>
                <w:rFonts w:hint="eastAsia" w:eastAsia="宋体" w:cs="Times New Roman"/>
                <w:b/>
                <w:bCs/>
                <w:sz w:val="24"/>
              </w:rPr>
              <w:t xml:space="preserve">1719-1733 </w:t>
            </w:r>
            <w:r>
              <w:rPr>
                <w:rFonts w:hint="eastAsia" w:eastAsia="宋体" w:cs="Times New Roman"/>
                <w:sz w:val="24"/>
              </w:rPr>
              <w:t>将代表性论文[</w:t>
            </w:r>
            <w:r>
              <w:rPr>
                <w:rFonts w:eastAsia="宋体" w:cs="Times New Roman"/>
                <w:sz w:val="24"/>
              </w:rPr>
              <w:t>3</w:t>
            </w:r>
            <w:r>
              <w:rPr>
                <w:rFonts w:hint="eastAsia" w:eastAsia="宋体" w:cs="Times New Roman"/>
                <w:sz w:val="24"/>
              </w:rPr>
              <w:t>]作为三支决策与高维空间中欧氏距离的拓展工作加以引用。西南交通大学李天瑞教授团队在</w:t>
            </w:r>
            <w:r>
              <w:rPr>
                <w:rFonts w:hint="eastAsia" w:eastAsia="宋体" w:cs="Times New Roman"/>
                <w:b/>
                <w:bCs/>
                <w:i/>
                <w:iCs/>
                <w:sz w:val="24"/>
              </w:rPr>
              <w:t>Knowledge-Based Systems</w:t>
            </w:r>
            <w:r>
              <w:rPr>
                <w:rFonts w:hint="eastAsia" w:eastAsia="宋体" w:cs="Times New Roman"/>
                <w:b/>
                <w:bCs/>
                <w:sz w:val="24"/>
              </w:rPr>
              <w:t xml:space="preserve"> 224</w:t>
            </w:r>
            <w:r>
              <w:rPr>
                <w:rFonts w:eastAsia="宋体" w:cs="Times New Roman"/>
                <w:b/>
                <w:bCs/>
                <w:sz w:val="24"/>
              </w:rPr>
              <w:t xml:space="preserve"> </w:t>
            </w:r>
            <w:r>
              <w:rPr>
                <w:rFonts w:hint="eastAsia" w:eastAsia="宋体" w:cs="Times New Roman"/>
                <w:b/>
                <w:bCs/>
                <w:sz w:val="24"/>
              </w:rPr>
              <w:t>(2021)</w:t>
            </w:r>
            <w:r>
              <w:rPr>
                <w:rFonts w:eastAsia="宋体" w:cs="Times New Roman"/>
                <w:b/>
                <w:bCs/>
                <w:sz w:val="24"/>
              </w:rPr>
              <w:t xml:space="preserve"> </w:t>
            </w:r>
            <w:r>
              <w:rPr>
                <w:rFonts w:hint="eastAsia" w:eastAsia="宋体" w:cs="Times New Roman"/>
                <w:b/>
                <w:bCs/>
                <w:sz w:val="24"/>
              </w:rPr>
              <w:t>107076</w:t>
            </w:r>
            <w:r>
              <w:rPr>
                <w:rFonts w:hint="eastAsia" w:eastAsia="宋体" w:cs="Times New Roman"/>
                <w:sz w:val="24"/>
              </w:rPr>
              <w:t>中指出“In addition, NRST-based methods have been applied effectively in related fields, such as image annotation [36], data classification [37,38]……”</w:t>
            </w:r>
            <w:r>
              <w:rPr>
                <w:rFonts w:hint="eastAsia" w:eastAsia="宋体" w:cs="Times New Roman"/>
                <w:b/>
                <w:bCs/>
                <w:sz w:val="24"/>
              </w:rPr>
              <w:t>([38]即为代表性论文[</w:t>
            </w:r>
            <w:r>
              <w:rPr>
                <w:rFonts w:eastAsia="宋体" w:cs="Times New Roman"/>
                <w:b/>
                <w:bCs/>
                <w:sz w:val="24"/>
              </w:rPr>
              <w:t>3</w:t>
            </w:r>
            <w:r>
              <w:rPr>
                <w:rFonts w:hint="eastAsia" w:eastAsia="宋体" w:cs="Times New Roman"/>
                <w:b/>
                <w:bCs/>
                <w:sz w:val="24"/>
              </w:rPr>
              <w:t>])</w:t>
            </w:r>
            <w:r>
              <w:rPr>
                <w:rFonts w:hint="eastAsia" w:eastAsia="宋体" w:cs="Times New Roman"/>
                <w:sz w:val="24"/>
              </w:rPr>
              <w:t>。国际粗糙集学会常务理事兼指导委员会主席，IEEE 高级会员，中国人工智能学会常务理事兼粗糙集与软计算专业委员会主任委员王国胤教授在计算机类top期刊</w:t>
            </w:r>
            <w:r>
              <w:rPr>
                <w:rFonts w:hint="eastAsia" w:eastAsia="宋体" w:cs="Times New Roman"/>
                <w:b/>
                <w:bCs/>
                <w:i/>
                <w:iCs/>
                <w:sz w:val="24"/>
              </w:rPr>
              <w:t>IEEE Transactions on Fuzzy Systems</w:t>
            </w:r>
            <w:r>
              <w:rPr>
                <w:rFonts w:hint="eastAsia" w:eastAsia="宋体" w:cs="Times New Roman"/>
                <w:b/>
                <w:bCs/>
                <w:sz w:val="24"/>
              </w:rPr>
              <w:t xml:space="preserve"> 31</w:t>
            </w:r>
            <w:r>
              <w:rPr>
                <w:rFonts w:eastAsia="宋体" w:cs="Times New Roman"/>
                <w:b/>
                <w:bCs/>
                <w:sz w:val="24"/>
              </w:rPr>
              <w:t xml:space="preserve"> </w:t>
            </w:r>
            <w:r>
              <w:rPr>
                <w:rFonts w:hint="eastAsia" w:eastAsia="宋体" w:cs="Times New Roman"/>
                <w:b/>
                <w:bCs/>
                <w:sz w:val="24"/>
              </w:rPr>
              <w:t>(2023)</w:t>
            </w:r>
            <w:r>
              <w:rPr>
                <w:rFonts w:eastAsia="宋体" w:cs="Times New Roman"/>
                <w:b/>
                <w:bCs/>
                <w:sz w:val="24"/>
              </w:rPr>
              <w:t xml:space="preserve"> </w:t>
            </w:r>
            <w:r>
              <w:rPr>
                <w:rFonts w:hint="eastAsia" w:eastAsia="宋体" w:cs="Times New Roman"/>
                <w:b/>
                <w:bCs/>
                <w:sz w:val="24"/>
              </w:rPr>
              <w:t>3959-3973</w:t>
            </w:r>
            <w:r>
              <w:rPr>
                <w:rFonts w:hint="eastAsia" w:eastAsia="宋体" w:cs="Times New Roman"/>
                <w:sz w:val="24"/>
              </w:rPr>
              <w:t xml:space="preserve"> 将代表性论文[</w:t>
            </w:r>
            <w:r>
              <w:rPr>
                <w:rFonts w:eastAsia="宋体" w:cs="Times New Roman"/>
                <w:sz w:val="24"/>
              </w:rPr>
              <w:t>3</w:t>
            </w:r>
            <w:r>
              <w:rPr>
                <w:rFonts w:hint="eastAsia" w:eastAsia="宋体" w:cs="Times New Roman"/>
                <w:sz w:val="24"/>
              </w:rPr>
              <w:t xml:space="preserve">]列为粗糙集在疾病诊断中的典型应用。电子科技大学梁德翠教授在的 </w:t>
            </w:r>
            <w:r>
              <w:rPr>
                <w:rFonts w:hint="eastAsia" w:eastAsia="宋体" w:cs="Times New Roman"/>
                <w:b/>
                <w:bCs/>
                <w:i/>
                <w:iCs/>
                <w:sz w:val="24"/>
              </w:rPr>
              <w:t>Expert Systems with Applications</w:t>
            </w:r>
            <w:r>
              <w:rPr>
                <w:rFonts w:hint="eastAsia" w:eastAsia="宋体" w:cs="Times New Roman"/>
                <w:b/>
                <w:bCs/>
                <w:sz w:val="24"/>
              </w:rPr>
              <w:t xml:space="preserve"> 188</w:t>
            </w:r>
            <w:r>
              <w:rPr>
                <w:rFonts w:eastAsia="宋体" w:cs="Times New Roman"/>
                <w:b/>
                <w:bCs/>
                <w:sz w:val="24"/>
              </w:rPr>
              <w:t xml:space="preserve"> </w:t>
            </w:r>
            <w:r>
              <w:rPr>
                <w:rFonts w:hint="eastAsia" w:eastAsia="宋体" w:cs="Times New Roman"/>
                <w:b/>
                <w:bCs/>
                <w:sz w:val="24"/>
              </w:rPr>
              <w:t>(2022)</w:t>
            </w:r>
            <w:r>
              <w:rPr>
                <w:rFonts w:eastAsia="宋体" w:cs="Times New Roman"/>
                <w:b/>
                <w:bCs/>
                <w:sz w:val="24"/>
              </w:rPr>
              <w:t xml:space="preserve"> </w:t>
            </w:r>
            <w:r>
              <w:rPr>
                <w:rFonts w:hint="eastAsia" w:eastAsia="宋体" w:cs="Times New Roman"/>
                <w:b/>
                <w:bCs/>
                <w:sz w:val="24"/>
              </w:rPr>
              <w:t>116051</w:t>
            </w:r>
            <w:r>
              <w:rPr>
                <w:rFonts w:hint="eastAsia" w:eastAsia="宋体" w:cs="Times New Roman"/>
                <w:sz w:val="24"/>
              </w:rPr>
              <w:t xml:space="preserve">文 章 中 指 出 “……3WD can always give the </w:t>
            </w:r>
            <w:r>
              <w:rPr>
                <w:rFonts w:eastAsia="宋体" w:cs="Times New Roman"/>
                <w:sz w:val="24"/>
              </w:rPr>
              <w:t>decision-making scheme with the minimum expected loss. Recently, 3WD has been</w:t>
            </w:r>
            <w:r>
              <w:rPr>
                <w:rFonts w:hint="eastAsia" w:eastAsia="宋体" w:cs="Times New Roman"/>
                <w:sz w:val="24"/>
              </w:rPr>
              <w:t xml:space="preserve"> </w:t>
            </w:r>
            <w:r>
              <w:rPr>
                <w:rFonts w:eastAsia="宋体" w:cs="Times New Roman"/>
                <w:sz w:val="24"/>
              </w:rPr>
              <w:t>widely applied in many fields, including the medical diagnosis (Chu, Sun, Li, et</w:t>
            </w:r>
            <w:r>
              <w:rPr>
                <w:rFonts w:hint="eastAsia" w:eastAsia="宋体" w:cs="Times New Roman"/>
                <w:sz w:val="24"/>
              </w:rPr>
              <w:t xml:space="preserve"> al…….”</w:t>
            </w:r>
            <w:r>
              <w:rPr>
                <w:rFonts w:hint="eastAsia" w:eastAsia="宋体" w:cs="Times New Roman"/>
                <w:b/>
                <w:bCs/>
                <w:sz w:val="24"/>
              </w:rPr>
              <w:t>(即代表性论文[</w:t>
            </w:r>
            <w:r>
              <w:rPr>
                <w:rFonts w:eastAsia="宋体" w:cs="Times New Roman"/>
                <w:b/>
                <w:bCs/>
                <w:sz w:val="24"/>
              </w:rPr>
              <w:t>3</w:t>
            </w:r>
            <w:r>
              <w:rPr>
                <w:rFonts w:hint="eastAsia" w:eastAsia="宋体" w:cs="Times New Roman"/>
                <w:b/>
                <w:bCs/>
                <w:sz w:val="24"/>
              </w:rPr>
              <w:t>])</w:t>
            </w:r>
            <w:r>
              <w:rPr>
                <w:rFonts w:hint="eastAsia" w:eastAsia="宋体" w:cs="Times New Roman"/>
                <w:sz w:val="24"/>
              </w:rPr>
              <w:t>。</w:t>
            </w:r>
          </w:p>
          <w:p w14:paraId="3E119D28">
            <w:pPr>
              <w:widowControl w:val="0"/>
              <w:spacing w:after="0" w:line="420" w:lineRule="exact"/>
              <w:ind w:firstLine="480" w:firstLineChars="200"/>
              <w:jc w:val="both"/>
              <w:rPr>
                <w:rFonts w:eastAsia="宋体" w:cs="Times New Roman"/>
                <w:sz w:val="24"/>
              </w:rPr>
            </w:pPr>
            <w:r>
              <w:rPr>
                <w:rFonts w:hint="eastAsia" w:eastAsia="宋体" w:cs="Times New Roman"/>
                <w:sz w:val="24"/>
              </w:rPr>
              <w:t>代表性论文[</w:t>
            </w:r>
            <w:r>
              <w:rPr>
                <w:rFonts w:eastAsia="宋体" w:cs="Times New Roman"/>
                <w:sz w:val="24"/>
              </w:rPr>
              <w:t>4]</w:t>
            </w:r>
            <w:r>
              <w:rPr>
                <w:rFonts w:hint="eastAsia" w:eastAsia="宋体" w:cs="Times New Roman"/>
                <w:sz w:val="24"/>
              </w:rPr>
              <w:t>基于多粒度粗糙集理论实现了群体专家个性化偏好信息的定量刻画与表示，利用粗糙集上下近似实现对群体专家偏好信息的融合，创新性的构建了基于粒计算的非算子聚合式群体决策的一般性原理、智能决策框架和应用技术模型与算法，成果发表至今累计他引5</w:t>
            </w:r>
            <w:r>
              <w:rPr>
                <w:rFonts w:eastAsia="宋体" w:cs="Times New Roman"/>
                <w:sz w:val="24"/>
              </w:rPr>
              <w:t>5</w:t>
            </w:r>
            <w:r>
              <w:rPr>
                <w:rFonts w:hint="eastAsia" w:eastAsia="宋体" w:cs="Times New Roman"/>
                <w:sz w:val="24"/>
              </w:rPr>
              <w:t>次。IEEE Fellow，中国计算机学会（CCF）会士，中国人工智能学会（CAAI）会士、山西大学梁吉业教授在计算机权威期刊</w:t>
            </w:r>
            <w:r>
              <w:rPr>
                <w:rFonts w:hint="eastAsia" w:eastAsia="宋体" w:cs="Times New Roman"/>
                <w:b/>
                <w:bCs/>
                <w:i/>
                <w:iCs/>
                <w:sz w:val="24"/>
              </w:rPr>
              <w:t>Information</w:t>
            </w:r>
            <w:r>
              <w:rPr>
                <w:rFonts w:eastAsia="宋体" w:cs="Times New Roman"/>
                <w:b/>
                <w:bCs/>
                <w:i/>
                <w:iCs/>
                <w:sz w:val="24"/>
              </w:rPr>
              <w:t xml:space="preserve"> </w:t>
            </w:r>
            <w:r>
              <w:rPr>
                <w:rFonts w:hint="eastAsia" w:eastAsia="宋体" w:cs="Times New Roman"/>
                <w:b/>
                <w:bCs/>
                <w:i/>
                <w:iCs/>
                <w:sz w:val="24"/>
              </w:rPr>
              <w:t>Sciences</w:t>
            </w:r>
            <w:r>
              <w:rPr>
                <w:rFonts w:eastAsia="宋体" w:cs="Times New Roman"/>
                <w:b/>
                <w:bCs/>
                <w:sz w:val="24"/>
              </w:rPr>
              <w:t xml:space="preserve"> 511 (2020) 192-211</w:t>
            </w:r>
            <w:r>
              <w:rPr>
                <w:rFonts w:hint="eastAsia" w:eastAsia="宋体" w:cs="Times New Roman"/>
                <w:sz w:val="24"/>
              </w:rPr>
              <w:t>发文指出“</w:t>
            </w:r>
            <w:r>
              <w:rPr>
                <w:rFonts w:eastAsia="宋体" w:cs="Times New Roman"/>
                <w:sz w:val="24"/>
              </w:rPr>
              <w:t>Hence, MGRSs over two universes can easily represent some inherent correlations between two kinds of objects in realistic MAGDM problems [15], [24], [25], [27], [39], [42]</w:t>
            </w:r>
            <w:r>
              <w:rPr>
                <w:rFonts w:hint="eastAsia" w:eastAsia="宋体" w:cs="Times New Roman"/>
                <w:sz w:val="24"/>
              </w:rPr>
              <w:t>”</w:t>
            </w:r>
            <w:r>
              <w:rPr>
                <w:rFonts w:hint="eastAsia" w:eastAsia="宋体" w:cs="Times New Roman"/>
                <w:b/>
                <w:bCs/>
                <w:sz w:val="24"/>
              </w:rPr>
              <w:t>([</w:t>
            </w:r>
            <w:r>
              <w:rPr>
                <w:rFonts w:eastAsia="宋体" w:cs="Times New Roman"/>
                <w:b/>
                <w:bCs/>
                <w:sz w:val="24"/>
              </w:rPr>
              <w:t>42]</w:t>
            </w:r>
            <w:r>
              <w:rPr>
                <w:rFonts w:hint="eastAsia" w:eastAsia="宋体" w:cs="Times New Roman"/>
                <w:b/>
                <w:bCs/>
                <w:sz w:val="24"/>
              </w:rPr>
              <w:t>即代表性论文[</w:t>
            </w:r>
            <w:r>
              <w:rPr>
                <w:rFonts w:eastAsia="宋体" w:cs="Times New Roman"/>
                <w:b/>
                <w:bCs/>
                <w:sz w:val="24"/>
              </w:rPr>
              <w:t>4</w:t>
            </w:r>
            <w:r>
              <w:rPr>
                <w:rFonts w:hint="eastAsia" w:eastAsia="宋体" w:cs="Times New Roman"/>
                <w:b/>
                <w:bCs/>
                <w:sz w:val="24"/>
              </w:rPr>
              <w:t>])</w:t>
            </w:r>
            <w:r>
              <w:rPr>
                <w:rFonts w:hint="eastAsia" w:eastAsia="宋体" w:cs="Times New Roman"/>
                <w:sz w:val="24"/>
              </w:rPr>
              <w:t>，充分肯定了代表性论文[</w:t>
            </w:r>
            <w:r>
              <w:rPr>
                <w:rFonts w:eastAsia="宋体" w:cs="Times New Roman"/>
                <w:sz w:val="24"/>
              </w:rPr>
              <w:t>4]</w:t>
            </w:r>
            <w:r>
              <w:rPr>
                <w:rFonts w:hint="eastAsia" w:eastAsia="宋体" w:cs="Times New Roman"/>
                <w:sz w:val="24"/>
              </w:rPr>
              <w:t>在双论域粗糙集研究领域的重要贡献。国际粗糙集学会副理事长、中国人工智能学会理事、西南交通大学李天瑞教授团队在计算机权威期刊</w:t>
            </w:r>
            <w:r>
              <w:rPr>
                <w:rFonts w:hint="eastAsia" w:eastAsia="宋体" w:cs="Times New Roman"/>
                <w:b/>
                <w:bCs/>
                <w:i/>
                <w:iCs/>
                <w:sz w:val="24"/>
              </w:rPr>
              <w:t>Information</w:t>
            </w:r>
            <w:r>
              <w:rPr>
                <w:rFonts w:eastAsia="宋体" w:cs="Times New Roman"/>
                <w:b/>
                <w:bCs/>
                <w:i/>
                <w:iCs/>
                <w:sz w:val="24"/>
              </w:rPr>
              <w:t xml:space="preserve"> </w:t>
            </w:r>
            <w:r>
              <w:rPr>
                <w:rFonts w:hint="eastAsia" w:eastAsia="宋体" w:cs="Times New Roman"/>
                <w:b/>
                <w:bCs/>
                <w:i/>
                <w:iCs/>
                <w:sz w:val="24"/>
              </w:rPr>
              <w:t>Fusion</w:t>
            </w:r>
            <w:r>
              <w:rPr>
                <w:rFonts w:eastAsia="宋体" w:cs="Times New Roman"/>
                <w:b/>
                <w:bCs/>
                <w:sz w:val="24"/>
              </w:rPr>
              <w:t xml:space="preserve"> 68 (2021) 85-117</w:t>
            </w:r>
            <w:r>
              <w:rPr>
                <w:rFonts w:hint="eastAsia" w:eastAsia="宋体" w:cs="Times New Roman"/>
                <w:sz w:val="24"/>
              </w:rPr>
              <w:t>发文指出“</w:t>
            </w:r>
            <w:r>
              <w:rPr>
                <w:rFonts w:eastAsia="宋体" w:cs="Times New Roman"/>
                <w:sz w:val="24"/>
              </w:rPr>
              <w:t>Sun et al. [76] proposed a multigranulation fuzzy rough set approach based on MsHISs which provided us with a good form of data table to study heterogeneous data</w:t>
            </w:r>
            <w:r>
              <w:rPr>
                <w:rFonts w:hint="eastAsia" w:eastAsia="宋体" w:cs="Times New Roman"/>
                <w:sz w:val="24"/>
              </w:rPr>
              <w:t>”</w:t>
            </w:r>
            <w:r>
              <w:rPr>
                <w:rFonts w:hint="eastAsia" w:eastAsia="宋体" w:cs="Times New Roman"/>
                <w:b/>
                <w:bCs/>
                <w:sz w:val="24"/>
              </w:rPr>
              <w:t>([</w:t>
            </w:r>
            <w:r>
              <w:rPr>
                <w:rFonts w:eastAsia="宋体" w:cs="Times New Roman"/>
                <w:b/>
                <w:bCs/>
                <w:sz w:val="24"/>
              </w:rPr>
              <w:t>76]</w:t>
            </w:r>
            <w:r>
              <w:rPr>
                <w:rFonts w:hint="eastAsia" w:eastAsia="宋体" w:cs="Times New Roman"/>
                <w:b/>
                <w:bCs/>
                <w:sz w:val="24"/>
              </w:rPr>
              <w:t>即代表性论文[</w:t>
            </w:r>
            <w:r>
              <w:rPr>
                <w:rFonts w:eastAsia="宋体" w:cs="Times New Roman"/>
                <w:b/>
                <w:bCs/>
                <w:sz w:val="24"/>
              </w:rPr>
              <w:t>4</w:t>
            </w:r>
            <w:r>
              <w:rPr>
                <w:rFonts w:hint="eastAsia" w:eastAsia="宋体" w:cs="Times New Roman"/>
                <w:b/>
                <w:bCs/>
                <w:sz w:val="24"/>
              </w:rPr>
              <w:t>])</w:t>
            </w:r>
            <w:r>
              <w:rPr>
                <w:rFonts w:hint="eastAsia" w:eastAsia="宋体" w:cs="Times New Roman"/>
                <w:sz w:val="24"/>
              </w:rPr>
              <w:t>，认为代表性论文[</w:t>
            </w:r>
            <w:r>
              <w:rPr>
                <w:rFonts w:eastAsia="宋体" w:cs="Times New Roman"/>
                <w:sz w:val="24"/>
              </w:rPr>
              <w:t>4</w:t>
            </w:r>
            <w:r>
              <w:rPr>
                <w:rFonts w:hint="eastAsia" w:eastAsia="宋体" w:cs="Times New Roman"/>
                <w:sz w:val="24"/>
              </w:rPr>
              <w:t>])为研究异构数据提供了一个崭新的方法论和研究范式。</w:t>
            </w:r>
          </w:p>
          <w:p w14:paraId="5F5EAF11">
            <w:pPr>
              <w:widowControl w:val="0"/>
              <w:spacing w:before="217" w:beforeLines="50" w:after="217" w:afterLines="50" w:line="420" w:lineRule="exact"/>
              <w:jc w:val="both"/>
              <w:rPr>
                <w:rFonts w:eastAsia="宋体" w:cs="Times New Roman"/>
                <w:sz w:val="24"/>
              </w:rPr>
            </w:pPr>
            <w:r>
              <w:rPr>
                <w:rFonts w:hint="eastAsia" w:eastAsia="宋体" w:cs="Times New Roman"/>
                <w:b/>
                <w:bCs/>
                <w:sz w:val="24"/>
              </w:rPr>
              <w:t>（三）科技创新三的代表性评价</w:t>
            </w:r>
          </w:p>
          <w:p w14:paraId="704B5215">
            <w:pPr>
              <w:widowControl w:val="0"/>
              <w:spacing w:after="0" w:line="420" w:lineRule="exact"/>
              <w:ind w:firstLine="480" w:firstLineChars="200"/>
              <w:jc w:val="both"/>
              <w:rPr>
                <w:rFonts w:hint="eastAsia" w:eastAsia="宋体" w:cs="Times New Roman"/>
                <w:szCs w:val="28"/>
              </w:rPr>
            </w:pPr>
            <w:r>
              <w:rPr>
                <w:rFonts w:hint="eastAsia" w:eastAsia="宋体" w:cs="Times New Roman"/>
                <w:sz w:val="24"/>
                <w:szCs w:val="28"/>
              </w:rPr>
              <w:t>代表性论文[</w:t>
            </w:r>
            <w:r>
              <w:rPr>
                <w:rFonts w:eastAsia="宋体" w:cs="Times New Roman"/>
                <w:sz w:val="24"/>
                <w:szCs w:val="28"/>
              </w:rPr>
              <w:t>5]</w:t>
            </w:r>
            <w:r>
              <w:rPr>
                <w:rFonts w:hint="eastAsia" w:eastAsia="宋体" w:cs="Times New Roman"/>
                <w:sz w:val="24"/>
                <w:szCs w:val="28"/>
              </w:rPr>
              <w:t>将灰度关联分析、三支决策、协同过滤的思想引入到了多准则医疗决策问题，创新性地从三支推荐的角度为解决多准则医疗项目推荐问题提供了有效的决策理论模型与方法工具，该成果自正式发表累计他引</w:t>
            </w:r>
            <w:r>
              <w:rPr>
                <w:rFonts w:eastAsia="宋体" w:cs="Times New Roman"/>
                <w:sz w:val="24"/>
                <w:szCs w:val="28"/>
              </w:rPr>
              <w:t>15</w:t>
            </w:r>
            <w:r>
              <w:rPr>
                <w:rFonts w:hint="eastAsia" w:eastAsia="宋体" w:cs="Times New Roman"/>
                <w:sz w:val="24"/>
                <w:szCs w:val="28"/>
              </w:rPr>
              <w:t>次。国家级青年人才、四川大学廖虎昌教授在</w:t>
            </w:r>
            <w:r>
              <w:rPr>
                <w:rFonts w:hint="eastAsia" w:eastAsia="宋体" w:cs="Times New Roman"/>
                <w:b/>
                <w:bCs/>
                <w:sz w:val="24"/>
                <w:szCs w:val="28"/>
              </w:rPr>
              <w:t>《计算机科学》52(5)</w:t>
            </w:r>
            <w:r>
              <w:rPr>
                <w:rFonts w:eastAsia="宋体" w:cs="Times New Roman"/>
                <w:b/>
                <w:bCs/>
                <w:sz w:val="24"/>
                <w:szCs w:val="28"/>
              </w:rPr>
              <w:t xml:space="preserve"> (</w:t>
            </w:r>
            <w:r>
              <w:rPr>
                <w:rFonts w:hint="eastAsia" w:eastAsia="宋体" w:cs="Times New Roman"/>
                <w:b/>
                <w:bCs/>
                <w:sz w:val="24"/>
                <w:szCs w:val="28"/>
              </w:rPr>
              <w:t>2025</w:t>
            </w:r>
            <w:r>
              <w:rPr>
                <w:rFonts w:eastAsia="宋体" w:cs="Times New Roman"/>
                <w:b/>
                <w:bCs/>
                <w:sz w:val="24"/>
                <w:szCs w:val="28"/>
              </w:rPr>
              <w:t xml:space="preserve">) </w:t>
            </w:r>
            <w:r>
              <w:rPr>
                <w:rFonts w:hint="eastAsia" w:eastAsia="宋体" w:cs="Times New Roman"/>
                <w:b/>
                <w:bCs/>
                <w:sz w:val="24"/>
                <w:szCs w:val="28"/>
              </w:rPr>
              <w:t>109-121</w:t>
            </w:r>
            <w:r>
              <w:rPr>
                <w:rFonts w:hint="eastAsia" w:eastAsia="宋体" w:cs="Times New Roman"/>
                <w:sz w:val="24"/>
                <w:szCs w:val="28"/>
              </w:rPr>
              <w:t>发文认为代表性论文[</w:t>
            </w:r>
            <w:r>
              <w:rPr>
                <w:rFonts w:eastAsia="宋体" w:cs="Times New Roman"/>
                <w:sz w:val="24"/>
                <w:szCs w:val="28"/>
              </w:rPr>
              <w:t>5]</w:t>
            </w:r>
            <w:r>
              <w:rPr>
                <w:rFonts w:hint="eastAsia" w:eastAsia="宋体" w:cs="Times New Roman"/>
                <w:sz w:val="24"/>
                <w:szCs w:val="28"/>
              </w:rPr>
              <w:t>为多属性决策方法在医疗管理决策应用的代表性成果。中国计算机学会杰出会员、IEEE高级会员、河北工业大学武优西教授在</w:t>
            </w:r>
            <w:r>
              <w:rPr>
                <w:rFonts w:hint="eastAsia" w:eastAsia="宋体" w:cs="Times New Roman"/>
                <w:b/>
                <w:bCs/>
                <w:sz w:val="24"/>
                <w:szCs w:val="28"/>
              </w:rPr>
              <w:t>《控制与决策》39(3)</w:t>
            </w:r>
            <w:r>
              <w:rPr>
                <w:rFonts w:eastAsia="宋体" w:cs="Times New Roman"/>
                <w:b/>
                <w:bCs/>
                <w:sz w:val="24"/>
                <w:szCs w:val="28"/>
              </w:rPr>
              <w:t xml:space="preserve"> (</w:t>
            </w:r>
            <w:r>
              <w:rPr>
                <w:rFonts w:hint="eastAsia" w:eastAsia="宋体" w:cs="Times New Roman"/>
                <w:b/>
                <w:bCs/>
                <w:sz w:val="24"/>
                <w:szCs w:val="28"/>
              </w:rPr>
              <w:t>2024</w:t>
            </w:r>
            <w:r>
              <w:rPr>
                <w:rFonts w:eastAsia="宋体" w:cs="Times New Roman"/>
                <w:b/>
                <w:bCs/>
                <w:sz w:val="24"/>
                <w:szCs w:val="28"/>
              </w:rPr>
              <w:t xml:space="preserve">) </w:t>
            </w:r>
            <w:r>
              <w:rPr>
                <w:rFonts w:hint="eastAsia" w:eastAsia="宋体" w:cs="Times New Roman"/>
                <w:b/>
                <w:bCs/>
                <w:sz w:val="24"/>
                <w:szCs w:val="28"/>
              </w:rPr>
              <w:t>1012-1020</w:t>
            </w:r>
            <w:r>
              <w:rPr>
                <w:rFonts w:hint="eastAsia" w:eastAsia="宋体" w:cs="Times New Roman"/>
                <w:sz w:val="24"/>
                <w:szCs w:val="28"/>
              </w:rPr>
              <w:t>发文将作为序贯三支决策在个性化推荐领域的代表性成果进行引用。</w:t>
            </w:r>
          </w:p>
          <w:p w14:paraId="6AFBDDCF">
            <w:pPr>
              <w:snapToGrid w:val="0"/>
              <w:spacing w:after="0" w:line="240" w:lineRule="auto"/>
              <w:jc w:val="center"/>
              <w:rPr>
                <w:rFonts w:cs="Times New Roman" w:eastAsiaTheme="minorEastAsia"/>
                <w:kern w:val="0"/>
                <w:sz w:val="24"/>
              </w:rPr>
            </w:pPr>
          </w:p>
        </w:tc>
      </w:tr>
      <w:tr w14:paraId="56CD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550FB634">
            <w:pPr>
              <w:snapToGrid w:val="0"/>
              <w:spacing w:after="0" w:line="240" w:lineRule="auto"/>
              <w:jc w:val="center"/>
              <w:rPr>
                <w:rFonts w:cs="Times New Roman" w:eastAsiaTheme="minorEastAsia"/>
                <w:kern w:val="0"/>
                <w:sz w:val="24"/>
              </w:rPr>
            </w:pPr>
            <w:r>
              <w:rPr>
                <w:rFonts w:hint="eastAsia" w:cs="Times New Roman" w:eastAsiaTheme="minorEastAsia"/>
                <w:b/>
                <w:bCs/>
                <w:kern w:val="0"/>
                <w:sz w:val="24"/>
              </w:rPr>
              <w:t>项目简介</w:t>
            </w:r>
          </w:p>
        </w:tc>
      </w:tr>
      <w:tr w14:paraId="11CB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633F0D4D">
            <w:pPr>
              <w:spacing w:after="0" w:line="420" w:lineRule="exact"/>
              <w:ind w:firstLine="480" w:firstLineChars="200"/>
              <w:jc w:val="both"/>
              <w:rPr>
                <w:rFonts w:ascii="宋体" w:hAnsi="宋体" w:eastAsia="宋体" w:cs="宋体"/>
                <w:sz w:val="24"/>
                <w:szCs w:val="24"/>
              </w:rPr>
            </w:pPr>
            <w:r>
              <w:rPr>
                <w:rFonts w:hint="eastAsia" w:ascii="宋体" w:hAnsi="宋体" w:eastAsia="宋体" w:cs="宋体"/>
                <w:sz w:val="24"/>
                <w:szCs w:val="24"/>
              </w:rPr>
              <w:t>本项目属于信息科学、临床医学、应用数学与管理科学的交叉研究领域。面向人民生命健康和国际学术前沿，本项目立足于真实的医疗管理实践活动，在深入剖析医疗管理实践活动复杂情景特征的基础上凝练出具有一般共性特征的科学管理问题，进而通过综合运用粒计算思想、大数据分析技术、决策科学理论、数学科学原理、信息科学方法和管理科学模型等基础科学原理与方法开展面向现实医疗决策问题的智能决策理论与方法研究。主要聚焦医疗管理实践活动中疾病早期预警、临床诊断、医疗推荐等具体的不确定性决策问题，融合粒计算、机器学习与智能决策理论系统性地构建了基于真实医疗复杂情景特征的粒化建模方法，从粒计算的视角确立了数据与知识驱动的医疗决策问题研究的基本框架体系，为求解现实复杂医疗决策问题提供了可解释性科学依据及有价值的参考方案。本项目在多项国家自然科学基金项目的资助下历经近</w:t>
            </w:r>
            <w:r>
              <w:rPr>
                <w:rFonts w:eastAsia="宋体" w:cs="Times New Roman"/>
                <w:sz w:val="24"/>
                <w:szCs w:val="24"/>
              </w:rPr>
              <w:t>10</w:t>
            </w:r>
            <w:r>
              <w:rPr>
                <w:rFonts w:hint="eastAsia" w:ascii="宋体" w:hAnsi="宋体" w:eastAsia="宋体" w:cs="宋体"/>
                <w:sz w:val="24"/>
                <w:szCs w:val="24"/>
              </w:rPr>
              <w:t>年的学术积累，主要包含如下三个方面的创新性工作：</w:t>
            </w:r>
          </w:p>
          <w:p w14:paraId="04EE40C8">
            <w:pPr>
              <w:widowControl w:val="0"/>
              <w:spacing w:after="0" w:line="420" w:lineRule="exact"/>
              <w:ind w:firstLine="482" w:firstLineChars="200"/>
              <w:jc w:val="both"/>
              <w:rPr>
                <w:rFonts w:eastAsia="宋体" w:cs="Times New Roman"/>
                <w:b/>
                <w:sz w:val="24"/>
                <w:szCs w:val="24"/>
              </w:rPr>
            </w:pPr>
            <w:r>
              <w:rPr>
                <w:rFonts w:eastAsia="宋体" w:cs="Times New Roman"/>
                <w:b/>
                <w:sz w:val="24"/>
                <w:szCs w:val="24"/>
              </w:rPr>
              <w:t>(1) 粒计算的基础理论研究</w:t>
            </w:r>
          </w:p>
          <w:p w14:paraId="4337EB28">
            <w:pPr>
              <w:spacing w:after="0" w:line="420" w:lineRule="exact"/>
              <w:ind w:firstLine="480" w:firstLineChars="200"/>
              <w:jc w:val="both"/>
              <w:rPr>
                <w:rFonts w:eastAsia="宋体" w:cs="Times New Roman"/>
                <w:color w:val="000000"/>
                <w:sz w:val="24"/>
                <w:szCs w:val="24"/>
              </w:rPr>
            </w:pPr>
            <w:r>
              <w:rPr>
                <w:rFonts w:eastAsia="宋体" w:cs="Times New Roman"/>
                <w:color w:val="000000"/>
                <w:sz w:val="24"/>
                <w:szCs w:val="24"/>
              </w:rPr>
              <w:t>不同于传统粒计算的研究工作，本项目在医疗决策背景下将具有不确定性、多粒度、多决策、异质性、混合性和冲突性等特征共存的复杂多属性信息纳入到粒计算基础理论模型的研究过程中，同时引入模糊集理论、概率论、</w:t>
            </w:r>
            <w:r>
              <w:rPr>
                <w:rFonts w:hint="eastAsia" w:eastAsia="宋体" w:cs="Times New Roman"/>
                <w:color w:val="000000"/>
                <w:sz w:val="24"/>
                <w:szCs w:val="24"/>
              </w:rPr>
              <w:t>灰色关联分析</w:t>
            </w:r>
            <w:r>
              <w:rPr>
                <w:rFonts w:eastAsia="宋体" w:cs="Times New Roman"/>
                <w:color w:val="000000"/>
                <w:sz w:val="24"/>
                <w:szCs w:val="24"/>
              </w:rPr>
              <w:t>等不确定性处理的数学理论深入系统地拓展了已有的粒计算理论体系。具体地，运用多属性决策理论创新性地探讨了复杂医疗数据信息的粒化策略，实现了对具有上述特征复杂信息的量化处理。在此基础上，构造了</w:t>
            </w:r>
            <w:r>
              <w:rPr>
                <w:rFonts w:hint="eastAsia" w:eastAsia="宋体" w:cs="Times New Roman"/>
                <w:color w:val="000000"/>
                <w:sz w:val="24"/>
                <w:szCs w:val="24"/>
              </w:rPr>
              <w:t>混合</w:t>
            </w:r>
            <w:r>
              <w:rPr>
                <w:rFonts w:eastAsia="宋体" w:cs="Times New Roman"/>
                <w:color w:val="000000"/>
                <w:sz w:val="24"/>
                <w:szCs w:val="24"/>
              </w:rPr>
              <w:t>多粒度粗糙集、基于三支聚类的邻域粗糙集、</w:t>
            </w:r>
            <w:r>
              <w:rPr>
                <w:rFonts w:hint="eastAsia" w:eastAsia="宋体" w:cs="Times New Roman"/>
                <w:color w:val="000000"/>
                <w:sz w:val="24"/>
                <w:szCs w:val="24"/>
              </w:rPr>
              <w:t>基于粒计算的非算子聚合式群决策方法、多准则三支推荐</w:t>
            </w:r>
            <w:r>
              <w:rPr>
                <w:rFonts w:eastAsia="宋体" w:cs="Times New Roman"/>
                <w:color w:val="000000"/>
                <w:sz w:val="24"/>
                <w:szCs w:val="24"/>
              </w:rPr>
              <w:t>模型等粒计算基础理论模型，为融合具有异质冲突的多粒度和多属性信息提供了新的方法工具。与此同时，给出了这些模型的基本数学性质。不难发现，本项目的研究工作既分丰富和完善了传统的粒计算模型与方法，又发展了基于医疗管理实践的粒计算数学理论，使得粒计算基础理论研究更加贴合真实的</w:t>
            </w:r>
            <w:r>
              <w:rPr>
                <w:rFonts w:hint="eastAsia" w:eastAsia="宋体" w:cs="Times New Roman"/>
                <w:color w:val="000000"/>
                <w:sz w:val="24"/>
                <w:szCs w:val="24"/>
              </w:rPr>
              <w:t>复杂</w:t>
            </w:r>
            <w:r>
              <w:rPr>
                <w:rFonts w:eastAsia="宋体" w:cs="Times New Roman"/>
                <w:color w:val="000000"/>
                <w:sz w:val="24"/>
                <w:szCs w:val="24"/>
              </w:rPr>
              <w:t>医疗决策场景。</w:t>
            </w:r>
          </w:p>
          <w:p w14:paraId="534547B4">
            <w:pPr>
              <w:widowControl w:val="0"/>
              <w:spacing w:after="0" w:line="420" w:lineRule="exact"/>
              <w:ind w:firstLine="482" w:firstLineChars="200"/>
              <w:jc w:val="both"/>
              <w:rPr>
                <w:rFonts w:eastAsia="宋体" w:cs="Times New Roman"/>
                <w:b/>
                <w:color w:val="000000"/>
                <w:sz w:val="24"/>
                <w:szCs w:val="24"/>
              </w:rPr>
            </w:pPr>
            <w:r>
              <w:rPr>
                <w:rFonts w:eastAsia="宋体" w:cs="Times New Roman"/>
                <w:b/>
                <w:sz w:val="24"/>
                <w:szCs w:val="24"/>
              </w:rPr>
              <w:t xml:space="preserve">(2) </w:t>
            </w:r>
            <w:r>
              <w:rPr>
                <w:rFonts w:eastAsia="宋体" w:cs="Times New Roman"/>
                <w:b/>
                <w:color w:val="000000"/>
                <w:sz w:val="24"/>
                <w:szCs w:val="24"/>
              </w:rPr>
              <w:t>融合粒计算与机器学习和智能决策理论的粒化建模方法研究</w:t>
            </w:r>
          </w:p>
          <w:p w14:paraId="23DCACFE">
            <w:pPr>
              <w:spacing w:after="0" w:line="420" w:lineRule="exact"/>
              <w:ind w:firstLine="480" w:firstLineChars="200"/>
              <w:jc w:val="both"/>
              <w:rPr>
                <w:rFonts w:eastAsia="宋体" w:cs="Times New Roman"/>
                <w:kern w:val="0"/>
                <w:sz w:val="24"/>
                <w:szCs w:val="24"/>
              </w:rPr>
            </w:pPr>
            <w:r>
              <w:rPr>
                <w:rFonts w:eastAsia="宋体" w:cs="Times New Roman"/>
                <w:kern w:val="0"/>
                <w:sz w:val="24"/>
                <w:szCs w:val="24"/>
              </w:rPr>
              <w:t>医疗管理决策问题不仅具有一般性决策问题的不确定性、不完备性和不精确性等特征，更具有难识别、难诊断、难管理进而难决策等特点。如何依据科学的理论和方法构建医疗决策</w:t>
            </w:r>
            <w:r>
              <w:rPr>
                <w:rFonts w:hint="eastAsia" w:eastAsia="宋体" w:cs="Times New Roman"/>
                <w:kern w:val="0"/>
                <w:sz w:val="24"/>
                <w:szCs w:val="24"/>
              </w:rPr>
              <w:t>问题</w:t>
            </w:r>
            <w:r>
              <w:rPr>
                <w:rFonts w:eastAsia="宋体" w:cs="Times New Roman"/>
                <w:kern w:val="0"/>
                <w:sz w:val="24"/>
                <w:szCs w:val="24"/>
              </w:rPr>
              <w:t>的管理理论与方法，致力于临床决策的的科学诊断和精确施治，是本项目研究的关键内容。为此，在中西医结合多学科会诊的临床背景下，本项目通过从真实的医疗管理实践活动中抽象出一类具有复杂信息特征的群体决策问题，采用基础理论研究与现实决策问题应用交互融合模式，创新性地将粒计算思想与机器学习模型引入到传统决策理论与方法中，构建了融合粒计算、机器学习与智能决策理论的粒化建模方法体系。值得指出的是，为表征具有复杂特征的群体信息，通过构造多决策多粒度粗糙集理论和三支群体冲突分析理论实现了群体专家偏好信息的有效融合，规避了传统群体决策模型结果高度依赖于聚合算子的局限性，创立了区别于传统以偏好关系、判断矩阵等数学方法为核心的不确定性群体决策问题的一种全新研究思路和理论工具。这些研究工作不仅形成了面向医疗决策问题的粒化建模研究范式，而且为求解医疗管理实践活动中复杂群体决策问题提供了有价值的科学依据和理论支撑。</w:t>
            </w:r>
          </w:p>
          <w:p w14:paraId="63E555A0">
            <w:pPr>
              <w:widowControl w:val="0"/>
              <w:spacing w:after="0" w:line="420" w:lineRule="exact"/>
              <w:ind w:firstLine="482" w:firstLineChars="200"/>
              <w:jc w:val="both"/>
              <w:rPr>
                <w:rFonts w:eastAsia="宋体" w:cs="Times New Roman"/>
                <w:b/>
                <w:color w:val="000000"/>
                <w:sz w:val="24"/>
                <w:szCs w:val="24"/>
              </w:rPr>
            </w:pPr>
            <w:r>
              <w:rPr>
                <w:rFonts w:eastAsia="宋体" w:cs="Times New Roman"/>
                <w:b/>
                <w:sz w:val="24"/>
                <w:szCs w:val="24"/>
              </w:rPr>
              <w:t>(</w:t>
            </w:r>
            <w:r>
              <w:rPr>
                <w:rFonts w:eastAsia="宋体" w:cs="Times New Roman"/>
                <w:b/>
                <w:color w:val="000000"/>
                <w:sz w:val="24"/>
                <w:szCs w:val="24"/>
              </w:rPr>
              <w:t xml:space="preserve">3) </w:t>
            </w:r>
            <w:r>
              <w:rPr>
                <w:rFonts w:hint="eastAsia" w:eastAsia="宋体" w:cs="Times New Roman"/>
                <w:b/>
                <w:color w:val="000000"/>
                <w:sz w:val="24"/>
                <w:szCs w:val="24"/>
              </w:rPr>
              <w:t>数据与知识驱动的</w:t>
            </w:r>
            <w:r>
              <w:rPr>
                <w:rFonts w:eastAsia="宋体" w:cs="Times New Roman"/>
                <w:b/>
                <w:color w:val="000000"/>
                <w:sz w:val="24"/>
                <w:szCs w:val="24"/>
              </w:rPr>
              <w:t>面向真实医疗复杂情境</w:t>
            </w:r>
            <w:r>
              <w:rPr>
                <w:rFonts w:hint="eastAsia" w:eastAsia="宋体" w:cs="Times New Roman"/>
                <w:b/>
                <w:color w:val="000000"/>
                <w:sz w:val="24"/>
                <w:szCs w:val="24"/>
              </w:rPr>
              <w:t>特征</w:t>
            </w:r>
            <w:r>
              <w:rPr>
                <w:rFonts w:eastAsia="宋体" w:cs="Times New Roman"/>
                <w:b/>
                <w:color w:val="000000"/>
                <w:sz w:val="24"/>
                <w:szCs w:val="24"/>
              </w:rPr>
              <w:t>的应用</w:t>
            </w:r>
            <w:r>
              <w:rPr>
                <w:rFonts w:hint="eastAsia" w:eastAsia="宋体" w:cs="Times New Roman"/>
                <w:b/>
                <w:color w:val="000000"/>
                <w:sz w:val="24"/>
                <w:szCs w:val="24"/>
              </w:rPr>
              <w:t>方法研究</w:t>
            </w:r>
          </w:p>
          <w:p w14:paraId="7012D4A8">
            <w:pPr>
              <w:spacing w:after="0" w:line="420" w:lineRule="exact"/>
              <w:ind w:firstLine="480" w:firstLineChars="200"/>
              <w:jc w:val="both"/>
              <w:rPr>
                <w:rFonts w:eastAsia="宋体" w:cs="Times New Roman"/>
                <w:kern w:val="0"/>
                <w:sz w:val="24"/>
                <w:szCs w:val="24"/>
              </w:rPr>
            </w:pPr>
            <w:r>
              <w:rPr>
                <w:rFonts w:eastAsia="宋体" w:cs="Times New Roman"/>
                <w:kern w:val="0"/>
                <w:sz w:val="24"/>
                <w:szCs w:val="24"/>
              </w:rPr>
              <w:t>在前面两个研究内容的基础上，本项目进一步聚焦现实医疗管理实践活动中疾病早期预警、临床诊断、</w:t>
            </w:r>
            <w:r>
              <w:rPr>
                <w:rFonts w:hint="eastAsia" w:eastAsia="宋体" w:cs="Times New Roman"/>
                <w:kern w:val="0"/>
                <w:sz w:val="24"/>
                <w:szCs w:val="24"/>
              </w:rPr>
              <w:t>医疗项目推荐</w:t>
            </w:r>
            <w:r>
              <w:rPr>
                <w:rFonts w:eastAsia="宋体" w:cs="Times New Roman"/>
                <w:kern w:val="0"/>
                <w:sz w:val="24"/>
                <w:szCs w:val="24"/>
              </w:rPr>
              <w:t>等具体的不确定性决策问题，从数据与知识驱动的视角将粒计算思想、机器学习算法与多属性决策理论进行了有机融合，系统性构建了面向真实医疗复杂情景特征的智能决策理论模型与应用方法，如</w:t>
            </w:r>
            <w:r>
              <w:rPr>
                <w:rFonts w:hint="eastAsia" w:eastAsia="宋体" w:cs="Times New Roman"/>
                <w:kern w:val="0"/>
                <w:sz w:val="24"/>
                <w:szCs w:val="24"/>
              </w:rPr>
              <w:t>基于集成学习的多属性多模态信息诊断决策模型、差异属性视角下基于偏好-批准结构的三支群体共识决策方法、融合粒计算与智能决策的非算子聚合式群决策范式、融合粗糙集和灰度关联分析（GRA）的多准则医疗项目三支推荐模型</w:t>
            </w:r>
            <w:r>
              <w:rPr>
                <w:rFonts w:eastAsia="宋体" w:cs="Times New Roman"/>
                <w:kern w:val="0"/>
                <w:sz w:val="24"/>
                <w:szCs w:val="24"/>
              </w:rPr>
              <w:t>等。与此同时，以具体的慢性疾病种类(如痛风和类风湿关节炎等)为例，运用真实的临床案例数据验证了这些应用方法的适用性、有效性和稳定性。从实验仿真结果中不仅首次发现了临床医学实验研究中尚未发现的新结论，而且为常见的一般性临床结论提供了佐证数据。这次研究成果初步形成了数据与知识驱动的医疗辅助决策支持体系。</w:t>
            </w:r>
          </w:p>
          <w:p w14:paraId="1D7522B3">
            <w:pPr>
              <w:widowControl w:val="0"/>
              <w:spacing w:after="0" w:line="420" w:lineRule="exact"/>
              <w:ind w:firstLine="480" w:firstLineChars="200"/>
              <w:jc w:val="both"/>
              <w:outlineLvl w:val="1"/>
              <w:rPr>
                <w:rFonts w:eastAsia="宋体" w:cs="Times New Roman"/>
                <w:sz w:val="24"/>
                <w:szCs w:val="24"/>
              </w:rPr>
            </w:pPr>
            <w:r>
              <w:rPr>
                <w:rFonts w:eastAsia="宋体" w:cs="Times New Roman"/>
                <w:sz w:val="24"/>
                <w:szCs w:val="24"/>
              </w:rPr>
              <w:t>作为跨学科交叉研究，本项目将理论、</w:t>
            </w:r>
            <w:r>
              <w:rPr>
                <w:rFonts w:hint="eastAsia" w:eastAsia="宋体" w:cs="Times New Roman"/>
                <w:sz w:val="24"/>
                <w:szCs w:val="24"/>
              </w:rPr>
              <w:t>模型、</w:t>
            </w:r>
            <w:r>
              <w:rPr>
                <w:rFonts w:eastAsia="宋体" w:cs="Times New Roman"/>
                <w:sz w:val="24"/>
                <w:szCs w:val="24"/>
              </w:rPr>
              <w:t>方法、算法与现实医疗决策问题紧密结合，5篇代表性论文发表在信息科学与管理科学领域主流期刊</w:t>
            </w:r>
            <w:r>
              <w:rPr>
                <w:rFonts w:eastAsia="宋体" w:cs="Times New Roman"/>
                <w:i/>
                <w:iCs/>
                <w:sz w:val="24"/>
                <w:szCs w:val="24"/>
              </w:rPr>
              <w:t>Expert Systems With Applications</w:t>
            </w:r>
            <w:r>
              <w:rPr>
                <w:rFonts w:eastAsia="宋体" w:cs="Times New Roman"/>
                <w:sz w:val="24"/>
                <w:szCs w:val="24"/>
              </w:rPr>
              <w:t>、</w:t>
            </w:r>
            <w:r>
              <w:rPr>
                <w:rFonts w:hint="eastAsia" w:eastAsia="宋体" w:cs="Times New Roman"/>
                <w:i/>
                <w:iCs/>
                <w:sz w:val="24"/>
                <w:szCs w:val="24"/>
              </w:rPr>
              <w:t>Information</w:t>
            </w:r>
            <w:r>
              <w:rPr>
                <w:rFonts w:eastAsia="宋体" w:cs="Times New Roman"/>
                <w:i/>
                <w:iCs/>
                <w:sz w:val="24"/>
                <w:szCs w:val="24"/>
              </w:rPr>
              <w:t xml:space="preserve"> </w:t>
            </w:r>
            <w:r>
              <w:rPr>
                <w:rFonts w:hint="eastAsia" w:eastAsia="宋体" w:cs="Times New Roman"/>
                <w:i/>
                <w:iCs/>
                <w:sz w:val="24"/>
                <w:szCs w:val="24"/>
              </w:rPr>
              <w:t>Fusion</w:t>
            </w:r>
            <w:r>
              <w:rPr>
                <w:rFonts w:eastAsia="宋体" w:cs="Times New Roman"/>
                <w:sz w:val="24"/>
                <w:szCs w:val="24"/>
              </w:rPr>
              <w:t>、</w:t>
            </w:r>
            <w:r>
              <w:rPr>
                <w:rFonts w:eastAsia="宋体" w:cs="Times New Roman"/>
                <w:i/>
                <w:iCs/>
                <w:sz w:val="24"/>
                <w:szCs w:val="24"/>
              </w:rPr>
              <w:t>Information Sciences</w:t>
            </w:r>
            <w:r>
              <w:rPr>
                <w:rFonts w:eastAsia="宋体" w:cs="Times New Roman"/>
                <w:sz w:val="24"/>
                <w:szCs w:val="24"/>
              </w:rPr>
              <w:t>、</w:t>
            </w:r>
            <w:r>
              <w:rPr>
                <w:rFonts w:eastAsia="宋体" w:cs="Times New Roman"/>
                <w:i/>
                <w:iCs/>
                <w:sz w:val="24"/>
                <w:szCs w:val="24"/>
              </w:rPr>
              <w:t>Computers &amp; Industrial Engineering</w:t>
            </w:r>
            <w:r>
              <w:rPr>
                <w:rFonts w:eastAsia="宋体" w:cs="Times New Roman"/>
                <w:sz w:val="24"/>
                <w:szCs w:val="24"/>
              </w:rPr>
              <w:t>、《</w:t>
            </w:r>
            <w:r>
              <w:rPr>
                <w:rFonts w:hint="eastAsia" w:eastAsia="宋体" w:cs="Times New Roman"/>
                <w:sz w:val="24"/>
                <w:szCs w:val="24"/>
              </w:rPr>
              <w:t>控制与决策</w:t>
            </w:r>
            <w:r>
              <w:rPr>
                <w:rFonts w:eastAsia="宋体" w:cs="Times New Roman"/>
                <w:sz w:val="24"/>
                <w:szCs w:val="24"/>
              </w:rPr>
              <w:t>》上，他引总次数196次。研究成果部分已应用于临床诊疗决策实践，提升了临床诊断的精准性和合理性，并产生了显著的社会效益，为后续成果的进一步发展、推广及应用奠定了坚实的基础。基于在医疗决策领域的突出成果和贡献，第一完成人2023-2024连续两年入选美国斯坦福大学全球前2%顶尖科学家榜单，并成功入选2024年中国知网高被引学者。同时，2024年作为特邀专家受邀参加了由广东省中医院承办、由国家级中医药继续教育项目支持的第二届中医证据资源建设与临床实践指南转化技术培训班授课。此外，本项目培养硕士研究生20 多名、博士研究生8名和博士后1名，所指导的研究生获校级优秀博士学位论文资助3项、校级优秀博士学位论文1篇以及校级优秀硕士学位论文7篇。</w:t>
            </w:r>
          </w:p>
          <w:p w14:paraId="2E6C74D7">
            <w:pPr>
              <w:snapToGrid w:val="0"/>
              <w:spacing w:after="0" w:line="240" w:lineRule="auto"/>
              <w:rPr>
                <w:rFonts w:cs="Times New Roman" w:eastAsiaTheme="minorEastAsia"/>
                <w:kern w:val="0"/>
                <w:sz w:val="24"/>
              </w:rPr>
            </w:pPr>
          </w:p>
        </w:tc>
      </w:tr>
      <w:tr w14:paraId="5ED4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3A014C2F">
            <w:pPr>
              <w:snapToGrid w:val="0"/>
              <w:spacing w:after="0" w:line="240" w:lineRule="auto"/>
              <w:jc w:val="center"/>
              <w:rPr>
                <w:rFonts w:cs="Times New Roman" w:eastAsiaTheme="minorEastAsia"/>
                <w:b/>
                <w:bCs/>
                <w:kern w:val="0"/>
                <w:sz w:val="24"/>
              </w:rPr>
            </w:pPr>
            <w:r>
              <w:rPr>
                <w:rFonts w:hint="eastAsia" w:cs="Times New Roman" w:eastAsiaTheme="minorEastAsia"/>
                <w:b/>
                <w:bCs/>
                <w:kern w:val="0"/>
                <w:sz w:val="24"/>
              </w:rPr>
              <w:t>应用情况</w:t>
            </w:r>
          </w:p>
        </w:tc>
      </w:tr>
      <w:tr w14:paraId="7E43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1429AC7D">
            <w:pPr>
              <w:widowControl w:val="0"/>
              <w:spacing w:after="217" w:afterLines="50" w:line="420" w:lineRule="exact"/>
              <w:ind w:firstLine="488" w:firstLineChars="200"/>
              <w:jc w:val="both"/>
              <w:rPr>
                <w:rFonts w:eastAsia="宋体" w:cs="Times New Roman"/>
                <w:spacing w:val="2"/>
                <w:position w:val="-2"/>
                <w:sz w:val="24"/>
                <w:szCs w:val="24"/>
              </w:rPr>
            </w:pPr>
            <w:r>
              <w:rPr>
                <w:rFonts w:hint="eastAsia" w:ascii="宋体" w:hAnsi="宋体" w:eastAsia="宋体" w:cs="宋体"/>
                <w:spacing w:val="2"/>
                <w:position w:val="-2"/>
                <w:sz w:val="24"/>
                <w:szCs w:val="24"/>
              </w:rPr>
              <w:t>本项目的主要技术应用对象为罗定市中医院、</w:t>
            </w:r>
            <w:r>
              <w:rPr>
                <w:rFonts w:hint="eastAsia" w:ascii="宋体" w:hAnsi="宋体" w:eastAsia="宋体" w:cs="宋体"/>
                <w:sz w:val="24"/>
                <w:szCs w:val="24"/>
              </w:rPr>
              <w:t>广州市研培生物科技有限公司以及</w:t>
            </w:r>
            <w:r>
              <w:rPr>
                <w:rFonts w:hint="eastAsia" w:eastAsia="宋体" w:cs="Times New Roman"/>
                <w:sz w:val="24"/>
                <w:szCs w:val="24"/>
              </w:rPr>
              <w:t>广州巢素科技有限公司</w:t>
            </w:r>
            <w:r>
              <w:rPr>
                <w:rFonts w:hint="eastAsia" w:ascii="宋体" w:hAnsi="宋体" w:eastAsia="宋体" w:cs="宋体"/>
                <w:spacing w:val="2"/>
                <w:position w:val="-2"/>
                <w:sz w:val="24"/>
                <w:szCs w:val="24"/>
              </w:rPr>
              <w:t>。具体应用情况如下表所示。</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180"/>
              <w:gridCol w:w="1970"/>
              <w:gridCol w:w="1440"/>
              <w:gridCol w:w="1490"/>
              <w:gridCol w:w="1540"/>
            </w:tblGrid>
            <w:tr w14:paraId="0C9C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095" w:type="dxa"/>
                  <w:gridSpan w:val="6"/>
                  <w:vAlign w:val="center"/>
                </w:tcPr>
                <w:p w14:paraId="1DCAEABD">
                  <w:pPr>
                    <w:widowControl w:val="0"/>
                    <w:spacing w:after="0" w:line="240" w:lineRule="auto"/>
                    <w:jc w:val="center"/>
                    <w:rPr>
                      <w:rFonts w:eastAsia="宋体" w:cs="Times New Roman"/>
                      <w:sz w:val="24"/>
                      <w:szCs w:val="20"/>
                    </w:rPr>
                  </w:pPr>
                  <w:r>
                    <w:rPr>
                      <w:rFonts w:eastAsia="宋体" w:cs="Times New Roman"/>
                      <w:sz w:val="24"/>
                      <w:szCs w:val="20"/>
                    </w:rPr>
                    <w:t>主要应用单位情况表</w:t>
                  </w:r>
                </w:p>
              </w:tc>
            </w:tr>
            <w:tr w14:paraId="1F34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75" w:type="dxa"/>
                  <w:vAlign w:val="center"/>
                </w:tcPr>
                <w:p w14:paraId="5B60BC52">
                  <w:pPr>
                    <w:widowControl w:val="0"/>
                    <w:spacing w:after="0" w:line="240" w:lineRule="auto"/>
                    <w:jc w:val="center"/>
                    <w:rPr>
                      <w:rFonts w:eastAsia="宋体" w:cs="Times New Roman"/>
                      <w:sz w:val="24"/>
                      <w:szCs w:val="20"/>
                    </w:rPr>
                  </w:pPr>
                  <w:r>
                    <w:rPr>
                      <w:rFonts w:eastAsia="宋体" w:cs="Times New Roman"/>
                      <w:sz w:val="24"/>
                      <w:szCs w:val="20"/>
                    </w:rPr>
                    <w:t>序号</w:t>
                  </w:r>
                </w:p>
              </w:tc>
              <w:tc>
                <w:tcPr>
                  <w:tcW w:w="1180" w:type="dxa"/>
                  <w:vAlign w:val="center"/>
                </w:tcPr>
                <w:p w14:paraId="292589A1">
                  <w:pPr>
                    <w:widowControl w:val="0"/>
                    <w:spacing w:after="0" w:line="240" w:lineRule="auto"/>
                    <w:jc w:val="center"/>
                    <w:rPr>
                      <w:rFonts w:eastAsia="宋体" w:cs="Times New Roman"/>
                      <w:sz w:val="24"/>
                      <w:szCs w:val="20"/>
                    </w:rPr>
                  </w:pPr>
                  <w:r>
                    <w:rPr>
                      <w:rFonts w:eastAsia="宋体" w:cs="Times New Roman"/>
                      <w:sz w:val="24"/>
                      <w:szCs w:val="20"/>
                    </w:rPr>
                    <w:t>单位名称</w:t>
                  </w:r>
                </w:p>
              </w:tc>
              <w:tc>
                <w:tcPr>
                  <w:tcW w:w="1970" w:type="dxa"/>
                  <w:vAlign w:val="center"/>
                </w:tcPr>
                <w:p w14:paraId="201DB849">
                  <w:pPr>
                    <w:widowControl w:val="0"/>
                    <w:spacing w:after="0" w:line="240" w:lineRule="auto"/>
                    <w:jc w:val="center"/>
                    <w:rPr>
                      <w:rFonts w:eastAsia="宋体" w:cs="Times New Roman"/>
                      <w:sz w:val="24"/>
                      <w:szCs w:val="20"/>
                    </w:rPr>
                  </w:pPr>
                  <w:r>
                    <w:rPr>
                      <w:rFonts w:eastAsia="宋体" w:cs="Times New Roman"/>
                      <w:sz w:val="24"/>
                      <w:szCs w:val="20"/>
                    </w:rPr>
                    <w:t>应用的技术</w:t>
                  </w:r>
                </w:p>
              </w:tc>
              <w:tc>
                <w:tcPr>
                  <w:tcW w:w="1440" w:type="dxa"/>
                  <w:vAlign w:val="center"/>
                </w:tcPr>
                <w:p w14:paraId="2F339758">
                  <w:pPr>
                    <w:widowControl w:val="0"/>
                    <w:spacing w:after="0" w:line="240" w:lineRule="auto"/>
                    <w:jc w:val="center"/>
                    <w:rPr>
                      <w:rFonts w:eastAsia="宋体" w:cs="Times New Roman"/>
                      <w:sz w:val="24"/>
                      <w:szCs w:val="20"/>
                    </w:rPr>
                  </w:pPr>
                  <w:r>
                    <w:rPr>
                      <w:rFonts w:eastAsia="宋体" w:cs="Times New Roman"/>
                      <w:sz w:val="24"/>
                      <w:szCs w:val="20"/>
                    </w:rPr>
                    <w:t>应用对象</w:t>
                  </w:r>
                </w:p>
                <w:p w14:paraId="6941E81A">
                  <w:pPr>
                    <w:widowControl w:val="0"/>
                    <w:spacing w:after="0" w:line="240" w:lineRule="auto"/>
                    <w:jc w:val="center"/>
                    <w:rPr>
                      <w:rFonts w:eastAsia="宋体" w:cs="Times New Roman"/>
                      <w:sz w:val="24"/>
                      <w:szCs w:val="20"/>
                    </w:rPr>
                  </w:pPr>
                  <w:r>
                    <w:rPr>
                      <w:rFonts w:eastAsia="宋体" w:cs="Times New Roman"/>
                      <w:sz w:val="24"/>
                      <w:szCs w:val="20"/>
                    </w:rPr>
                    <w:t>及规模</w:t>
                  </w:r>
                </w:p>
              </w:tc>
              <w:tc>
                <w:tcPr>
                  <w:tcW w:w="1490" w:type="dxa"/>
                  <w:vAlign w:val="center"/>
                </w:tcPr>
                <w:p w14:paraId="2072252F">
                  <w:pPr>
                    <w:widowControl w:val="0"/>
                    <w:spacing w:after="0" w:line="240" w:lineRule="auto"/>
                    <w:jc w:val="center"/>
                    <w:rPr>
                      <w:rFonts w:eastAsia="宋体" w:cs="Times New Roman"/>
                      <w:sz w:val="24"/>
                      <w:szCs w:val="20"/>
                    </w:rPr>
                  </w:pPr>
                  <w:r>
                    <w:rPr>
                      <w:rFonts w:eastAsia="宋体" w:cs="Times New Roman"/>
                      <w:sz w:val="24"/>
                      <w:szCs w:val="20"/>
                    </w:rPr>
                    <w:t>应用起止</w:t>
                  </w:r>
                </w:p>
                <w:p w14:paraId="56093997">
                  <w:pPr>
                    <w:widowControl w:val="0"/>
                    <w:spacing w:after="0" w:line="240" w:lineRule="auto"/>
                    <w:jc w:val="center"/>
                    <w:rPr>
                      <w:rFonts w:eastAsia="宋体" w:cs="Times New Roman"/>
                      <w:sz w:val="24"/>
                      <w:szCs w:val="20"/>
                    </w:rPr>
                  </w:pPr>
                  <w:r>
                    <w:rPr>
                      <w:rFonts w:eastAsia="宋体" w:cs="Times New Roman"/>
                      <w:sz w:val="24"/>
                      <w:szCs w:val="20"/>
                    </w:rPr>
                    <w:t>时间</w:t>
                  </w:r>
                </w:p>
              </w:tc>
              <w:tc>
                <w:tcPr>
                  <w:tcW w:w="1540" w:type="dxa"/>
                  <w:vAlign w:val="center"/>
                </w:tcPr>
                <w:p w14:paraId="3AF33491">
                  <w:pPr>
                    <w:widowControl w:val="0"/>
                    <w:spacing w:after="0" w:line="240" w:lineRule="auto"/>
                    <w:jc w:val="center"/>
                    <w:rPr>
                      <w:rFonts w:eastAsia="宋体" w:cs="Times New Roman"/>
                      <w:sz w:val="24"/>
                      <w:szCs w:val="20"/>
                    </w:rPr>
                  </w:pPr>
                  <w:r>
                    <w:rPr>
                      <w:rFonts w:eastAsia="宋体" w:cs="Times New Roman"/>
                      <w:sz w:val="24"/>
                      <w:szCs w:val="20"/>
                    </w:rPr>
                    <w:t>单位联系人/电话</w:t>
                  </w:r>
                </w:p>
              </w:tc>
            </w:tr>
            <w:tr w14:paraId="0835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475" w:type="dxa"/>
                  <w:vAlign w:val="center"/>
                </w:tcPr>
                <w:p w14:paraId="38AA4C87">
                  <w:pPr>
                    <w:widowControl w:val="0"/>
                    <w:spacing w:after="0" w:line="240" w:lineRule="auto"/>
                    <w:jc w:val="center"/>
                    <w:rPr>
                      <w:rFonts w:eastAsia="宋体" w:cs="Times New Roman"/>
                      <w:sz w:val="24"/>
                      <w:szCs w:val="24"/>
                    </w:rPr>
                  </w:pPr>
                  <w:r>
                    <w:rPr>
                      <w:rFonts w:eastAsia="宋体" w:cs="Times New Roman"/>
                      <w:sz w:val="24"/>
                      <w:szCs w:val="24"/>
                    </w:rPr>
                    <w:t>1</w:t>
                  </w:r>
                </w:p>
              </w:tc>
              <w:tc>
                <w:tcPr>
                  <w:tcW w:w="1180" w:type="dxa"/>
                  <w:vAlign w:val="center"/>
                </w:tcPr>
                <w:p w14:paraId="78469741">
                  <w:pPr>
                    <w:widowControl w:val="0"/>
                    <w:spacing w:after="0" w:line="240" w:lineRule="auto"/>
                    <w:jc w:val="center"/>
                    <w:rPr>
                      <w:rFonts w:eastAsia="宋体" w:cs="Times New Roman"/>
                      <w:sz w:val="24"/>
                      <w:szCs w:val="24"/>
                    </w:rPr>
                  </w:pPr>
                  <w:r>
                    <w:rPr>
                      <w:rFonts w:hint="eastAsia" w:eastAsia="宋体" w:cs="Times New Roman"/>
                      <w:sz w:val="24"/>
                      <w:szCs w:val="24"/>
                    </w:rPr>
                    <w:t>罗定市</w:t>
                  </w:r>
                  <w:r>
                    <w:rPr>
                      <w:rFonts w:eastAsia="宋体" w:cs="Times New Roman"/>
                      <w:sz w:val="24"/>
                      <w:szCs w:val="24"/>
                    </w:rPr>
                    <w:t>中医院</w:t>
                  </w:r>
                </w:p>
              </w:tc>
              <w:tc>
                <w:tcPr>
                  <w:tcW w:w="1970" w:type="dxa"/>
                  <w:vAlign w:val="center"/>
                </w:tcPr>
                <w:p w14:paraId="47258C01">
                  <w:pPr>
                    <w:widowControl w:val="0"/>
                    <w:spacing w:after="0" w:line="240" w:lineRule="auto"/>
                    <w:jc w:val="center"/>
                    <w:rPr>
                      <w:rFonts w:eastAsia="宋体" w:cs="Times New Roman"/>
                      <w:sz w:val="24"/>
                      <w:szCs w:val="24"/>
                    </w:rPr>
                  </w:pPr>
                  <w:r>
                    <w:rPr>
                      <w:rFonts w:eastAsia="宋体" w:cs="Times New Roman"/>
                      <w:spacing w:val="2"/>
                      <w:position w:val="-2"/>
                      <w:sz w:val="24"/>
                      <w:szCs w:val="24"/>
                    </w:rPr>
                    <w:t>痛风患者与患者自身肝功和肾功之间内在关系的新结论</w:t>
                  </w:r>
                </w:p>
              </w:tc>
              <w:tc>
                <w:tcPr>
                  <w:tcW w:w="1440" w:type="dxa"/>
                  <w:vAlign w:val="center"/>
                </w:tcPr>
                <w:p w14:paraId="0678D1B7">
                  <w:pPr>
                    <w:widowControl w:val="0"/>
                    <w:spacing w:after="0" w:line="240" w:lineRule="auto"/>
                    <w:jc w:val="center"/>
                    <w:rPr>
                      <w:rFonts w:eastAsia="宋体" w:cs="Times New Roman"/>
                      <w:sz w:val="24"/>
                      <w:szCs w:val="24"/>
                    </w:rPr>
                  </w:pPr>
                  <w:r>
                    <w:rPr>
                      <w:rFonts w:eastAsia="宋体" w:cs="Times New Roman"/>
                      <w:sz w:val="24"/>
                      <w:szCs w:val="24"/>
                    </w:rPr>
                    <w:t>全院的痛风</w:t>
                  </w:r>
                  <w:r>
                    <w:rPr>
                      <w:rFonts w:hint="eastAsia" w:eastAsia="宋体" w:cs="Times New Roman"/>
                      <w:sz w:val="24"/>
                      <w:szCs w:val="24"/>
                    </w:rPr>
                    <w:t>临床</w:t>
                  </w:r>
                  <w:r>
                    <w:rPr>
                      <w:rFonts w:eastAsia="宋体" w:cs="Times New Roman"/>
                      <w:sz w:val="24"/>
                      <w:szCs w:val="24"/>
                    </w:rPr>
                    <w:t>患者</w:t>
                  </w:r>
                </w:p>
              </w:tc>
              <w:tc>
                <w:tcPr>
                  <w:tcW w:w="1490" w:type="dxa"/>
                  <w:vAlign w:val="center"/>
                </w:tcPr>
                <w:p w14:paraId="64121AAB">
                  <w:pPr>
                    <w:widowControl w:val="0"/>
                    <w:spacing w:after="0" w:line="240" w:lineRule="auto"/>
                    <w:jc w:val="center"/>
                    <w:rPr>
                      <w:rFonts w:eastAsia="宋体" w:cs="Times New Roman"/>
                      <w:sz w:val="24"/>
                      <w:szCs w:val="24"/>
                    </w:rPr>
                  </w:pPr>
                  <w:r>
                    <w:rPr>
                      <w:rFonts w:eastAsia="宋体" w:cs="Times New Roman"/>
                      <w:sz w:val="24"/>
                      <w:szCs w:val="24"/>
                    </w:rPr>
                    <w:t>202</w:t>
                  </w:r>
                  <w:r>
                    <w:rPr>
                      <w:rFonts w:hint="eastAsia" w:eastAsia="宋体" w:cs="Times New Roman"/>
                      <w:sz w:val="24"/>
                      <w:szCs w:val="24"/>
                    </w:rPr>
                    <w:t>1</w:t>
                  </w:r>
                  <w:r>
                    <w:rPr>
                      <w:rFonts w:eastAsia="宋体" w:cs="Times New Roman"/>
                      <w:sz w:val="24"/>
                      <w:szCs w:val="24"/>
                    </w:rPr>
                    <w:t>.0</w:t>
                  </w:r>
                  <w:r>
                    <w:rPr>
                      <w:rFonts w:hint="eastAsia" w:eastAsia="宋体" w:cs="Times New Roman"/>
                      <w:sz w:val="24"/>
                      <w:szCs w:val="24"/>
                    </w:rPr>
                    <w:t>1</w:t>
                  </w:r>
                  <w:r>
                    <w:rPr>
                      <w:rFonts w:eastAsia="宋体" w:cs="Times New Roman"/>
                      <w:sz w:val="24"/>
                      <w:szCs w:val="24"/>
                    </w:rPr>
                    <w:t>.</w:t>
                  </w:r>
                  <w:r>
                    <w:rPr>
                      <w:rFonts w:hint="eastAsia" w:eastAsia="宋体" w:cs="Times New Roman"/>
                      <w:sz w:val="24"/>
                      <w:szCs w:val="24"/>
                    </w:rPr>
                    <w:t>01</w:t>
                  </w:r>
                </w:p>
                <w:p w14:paraId="2595ED03">
                  <w:pPr>
                    <w:widowControl w:val="0"/>
                    <w:spacing w:after="0" w:line="240" w:lineRule="auto"/>
                    <w:jc w:val="center"/>
                    <w:rPr>
                      <w:rFonts w:eastAsia="宋体" w:cs="Times New Roman"/>
                      <w:sz w:val="24"/>
                      <w:szCs w:val="24"/>
                    </w:rPr>
                  </w:pPr>
                  <w:r>
                    <w:rPr>
                      <w:rFonts w:eastAsia="宋体" w:cs="Times New Roman"/>
                      <w:sz w:val="24"/>
                      <w:szCs w:val="24"/>
                    </w:rPr>
                    <w:t>-</w:t>
                  </w:r>
                  <w:r>
                    <w:rPr>
                      <w:rFonts w:hint="eastAsia" w:eastAsia="宋体" w:cs="Times New Roman"/>
                      <w:sz w:val="24"/>
                      <w:szCs w:val="24"/>
                    </w:rPr>
                    <w:t>-</w:t>
                  </w:r>
                </w:p>
                <w:p w14:paraId="03B24C3C">
                  <w:pPr>
                    <w:widowControl w:val="0"/>
                    <w:spacing w:after="0" w:line="240" w:lineRule="auto"/>
                    <w:jc w:val="center"/>
                    <w:rPr>
                      <w:rFonts w:eastAsia="宋体" w:cs="Times New Roman"/>
                      <w:sz w:val="24"/>
                      <w:szCs w:val="24"/>
                    </w:rPr>
                  </w:pPr>
                  <w:r>
                    <w:rPr>
                      <w:rFonts w:eastAsia="宋体" w:cs="Times New Roman"/>
                      <w:sz w:val="24"/>
                      <w:szCs w:val="24"/>
                    </w:rPr>
                    <w:t>2026.08.21</w:t>
                  </w:r>
                </w:p>
              </w:tc>
              <w:tc>
                <w:tcPr>
                  <w:tcW w:w="1540" w:type="dxa"/>
                  <w:vAlign w:val="center"/>
                </w:tcPr>
                <w:p w14:paraId="6A23397D">
                  <w:pPr>
                    <w:widowControl w:val="0"/>
                    <w:spacing w:after="0" w:line="240" w:lineRule="auto"/>
                    <w:jc w:val="center"/>
                    <w:rPr>
                      <w:rFonts w:hint="eastAsia" w:eastAsia="宋体" w:cs="Times New Roman"/>
                      <w:sz w:val="24"/>
                      <w:szCs w:val="24"/>
                    </w:rPr>
                  </w:pPr>
                  <w:r>
                    <w:rPr>
                      <w:rFonts w:eastAsia="宋体" w:cs="Times New Roman"/>
                      <w:sz w:val="24"/>
                      <w:szCs w:val="24"/>
                    </w:rPr>
                    <w:t>邬之苹</w:t>
                  </w:r>
                </w:p>
                <w:p w14:paraId="64616A3E">
                  <w:pPr>
                    <w:widowControl w:val="0"/>
                    <w:spacing w:after="0" w:line="240" w:lineRule="auto"/>
                    <w:jc w:val="center"/>
                    <w:rPr>
                      <w:rFonts w:hint="eastAsia" w:eastAsia="宋体" w:cs="Times New Roman"/>
                      <w:sz w:val="24"/>
                      <w:szCs w:val="24"/>
                    </w:rPr>
                  </w:pPr>
                  <w:r>
                    <w:rPr>
                      <w:rFonts w:hint="eastAsia" w:eastAsia="宋体" w:cs="Times New Roman"/>
                      <w:sz w:val="24"/>
                      <w:szCs w:val="24"/>
                    </w:rPr>
                    <w:t>13802905848</w:t>
                  </w:r>
                </w:p>
              </w:tc>
            </w:tr>
            <w:tr w14:paraId="117B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475" w:type="dxa"/>
                  <w:vAlign w:val="center"/>
                </w:tcPr>
                <w:p w14:paraId="0F3BB871">
                  <w:pPr>
                    <w:widowControl w:val="0"/>
                    <w:spacing w:after="0" w:line="240" w:lineRule="auto"/>
                    <w:jc w:val="center"/>
                    <w:rPr>
                      <w:rFonts w:eastAsia="宋体" w:cs="Times New Roman"/>
                      <w:sz w:val="24"/>
                      <w:szCs w:val="24"/>
                    </w:rPr>
                  </w:pPr>
                  <w:r>
                    <w:rPr>
                      <w:rFonts w:eastAsia="宋体" w:cs="Times New Roman"/>
                      <w:sz w:val="24"/>
                      <w:szCs w:val="24"/>
                    </w:rPr>
                    <w:t>2</w:t>
                  </w:r>
                </w:p>
              </w:tc>
              <w:tc>
                <w:tcPr>
                  <w:tcW w:w="1180" w:type="dxa"/>
                  <w:vAlign w:val="center"/>
                </w:tcPr>
                <w:p w14:paraId="011F7570">
                  <w:pPr>
                    <w:widowControl w:val="0"/>
                    <w:spacing w:after="0" w:line="240" w:lineRule="auto"/>
                    <w:jc w:val="center"/>
                    <w:rPr>
                      <w:rFonts w:eastAsia="宋体" w:cs="Times New Roman"/>
                      <w:sz w:val="24"/>
                      <w:szCs w:val="24"/>
                    </w:rPr>
                  </w:pPr>
                  <w:r>
                    <w:rPr>
                      <w:rFonts w:eastAsia="宋体" w:cs="Times New Roman"/>
                      <w:sz w:val="24"/>
                      <w:szCs w:val="24"/>
                    </w:rPr>
                    <w:t>广州市研培生物科技有限公司</w:t>
                  </w:r>
                </w:p>
              </w:tc>
              <w:tc>
                <w:tcPr>
                  <w:tcW w:w="1970" w:type="dxa"/>
                  <w:vAlign w:val="center"/>
                </w:tcPr>
                <w:p w14:paraId="2EE8E783">
                  <w:pPr>
                    <w:widowControl w:val="0"/>
                    <w:spacing w:after="0" w:line="240" w:lineRule="auto"/>
                    <w:jc w:val="center"/>
                    <w:rPr>
                      <w:rFonts w:eastAsia="宋体" w:cs="Times New Roman"/>
                      <w:sz w:val="24"/>
                      <w:szCs w:val="24"/>
                    </w:rPr>
                  </w:pPr>
                  <w:r>
                    <w:rPr>
                      <w:rFonts w:eastAsia="宋体" w:cs="Times New Roman"/>
                      <w:sz w:val="24"/>
                      <w:szCs w:val="20"/>
                    </w:rPr>
                    <w:t>融合粒计算与群决策的智能决策理论模型与方法</w:t>
                  </w:r>
                </w:p>
              </w:tc>
              <w:tc>
                <w:tcPr>
                  <w:tcW w:w="1440" w:type="dxa"/>
                  <w:vAlign w:val="center"/>
                </w:tcPr>
                <w:p w14:paraId="38064B4F">
                  <w:pPr>
                    <w:widowControl w:val="0"/>
                    <w:spacing w:after="0" w:line="240" w:lineRule="auto"/>
                    <w:jc w:val="center"/>
                    <w:rPr>
                      <w:rFonts w:eastAsia="宋体" w:cs="Times New Roman"/>
                      <w:sz w:val="24"/>
                      <w:szCs w:val="24"/>
                    </w:rPr>
                  </w:pPr>
                  <w:r>
                    <w:rPr>
                      <w:rFonts w:hint="eastAsia" w:eastAsia="宋体" w:cs="Times New Roman"/>
                      <w:spacing w:val="2"/>
                      <w:position w:val="-2"/>
                      <w:sz w:val="24"/>
                      <w:szCs w:val="24"/>
                    </w:rPr>
                    <w:t>公司</w:t>
                  </w:r>
                  <w:r>
                    <w:rPr>
                      <w:rFonts w:eastAsia="宋体" w:cs="Times New Roman"/>
                      <w:spacing w:val="2"/>
                      <w:position w:val="-2"/>
                      <w:sz w:val="24"/>
                      <w:szCs w:val="24"/>
                    </w:rPr>
                    <w:t>客户的生物样本检测报告及健康数据</w:t>
                  </w:r>
                </w:p>
              </w:tc>
              <w:tc>
                <w:tcPr>
                  <w:tcW w:w="1490" w:type="dxa"/>
                  <w:vAlign w:val="center"/>
                </w:tcPr>
                <w:p w14:paraId="6483D5F3">
                  <w:pPr>
                    <w:widowControl w:val="0"/>
                    <w:spacing w:after="0" w:line="240" w:lineRule="auto"/>
                    <w:jc w:val="center"/>
                    <w:rPr>
                      <w:rFonts w:eastAsia="宋体" w:cs="Times New Roman"/>
                      <w:sz w:val="24"/>
                      <w:szCs w:val="24"/>
                    </w:rPr>
                  </w:pPr>
                  <w:r>
                    <w:rPr>
                      <w:rFonts w:eastAsia="宋体" w:cs="Times New Roman"/>
                      <w:sz w:val="24"/>
                      <w:szCs w:val="24"/>
                    </w:rPr>
                    <w:t>202</w:t>
                  </w:r>
                  <w:r>
                    <w:rPr>
                      <w:rFonts w:hint="eastAsia" w:eastAsia="宋体" w:cs="Times New Roman"/>
                      <w:sz w:val="24"/>
                      <w:szCs w:val="24"/>
                    </w:rPr>
                    <w:t>3</w:t>
                  </w:r>
                  <w:r>
                    <w:rPr>
                      <w:rFonts w:eastAsia="宋体" w:cs="Times New Roman"/>
                      <w:sz w:val="24"/>
                      <w:szCs w:val="24"/>
                    </w:rPr>
                    <w:t>.</w:t>
                  </w:r>
                  <w:r>
                    <w:rPr>
                      <w:rFonts w:hint="eastAsia" w:eastAsia="宋体" w:cs="Times New Roman"/>
                      <w:sz w:val="24"/>
                      <w:szCs w:val="24"/>
                    </w:rPr>
                    <w:t>06</w:t>
                  </w:r>
                  <w:r>
                    <w:rPr>
                      <w:rFonts w:eastAsia="宋体" w:cs="Times New Roman"/>
                      <w:sz w:val="24"/>
                      <w:szCs w:val="24"/>
                    </w:rPr>
                    <w:t>.</w:t>
                  </w:r>
                  <w:r>
                    <w:rPr>
                      <w:rFonts w:hint="eastAsia" w:eastAsia="宋体" w:cs="Times New Roman"/>
                      <w:sz w:val="24"/>
                      <w:szCs w:val="24"/>
                    </w:rPr>
                    <w:t>01</w:t>
                  </w:r>
                </w:p>
                <w:p w14:paraId="30B3AEEF">
                  <w:pPr>
                    <w:widowControl w:val="0"/>
                    <w:spacing w:after="0" w:line="240" w:lineRule="auto"/>
                    <w:jc w:val="center"/>
                    <w:rPr>
                      <w:rFonts w:eastAsia="宋体" w:cs="Times New Roman"/>
                      <w:sz w:val="24"/>
                      <w:szCs w:val="24"/>
                    </w:rPr>
                  </w:pPr>
                  <w:r>
                    <w:rPr>
                      <w:rFonts w:eastAsia="宋体" w:cs="Times New Roman"/>
                      <w:sz w:val="24"/>
                      <w:szCs w:val="24"/>
                    </w:rPr>
                    <w:t>-</w:t>
                  </w:r>
                  <w:r>
                    <w:rPr>
                      <w:rFonts w:hint="eastAsia" w:eastAsia="宋体" w:cs="Times New Roman"/>
                      <w:sz w:val="24"/>
                      <w:szCs w:val="24"/>
                    </w:rPr>
                    <w:t>-</w:t>
                  </w:r>
                </w:p>
                <w:p w14:paraId="784AD0A0">
                  <w:pPr>
                    <w:widowControl w:val="0"/>
                    <w:spacing w:after="0" w:line="240" w:lineRule="auto"/>
                    <w:jc w:val="center"/>
                    <w:rPr>
                      <w:rFonts w:eastAsia="宋体" w:cs="Times New Roman"/>
                      <w:sz w:val="24"/>
                      <w:szCs w:val="24"/>
                    </w:rPr>
                  </w:pPr>
                  <w:r>
                    <w:rPr>
                      <w:rFonts w:eastAsia="宋体" w:cs="Times New Roman"/>
                      <w:sz w:val="24"/>
                      <w:szCs w:val="24"/>
                    </w:rPr>
                    <w:t>2026.08.21</w:t>
                  </w:r>
                </w:p>
              </w:tc>
              <w:tc>
                <w:tcPr>
                  <w:tcW w:w="1540" w:type="dxa"/>
                  <w:vAlign w:val="center"/>
                </w:tcPr>
                <w:p w14:paraId="6932871A">
                  <w:pPr>
                    <w:widowControl w:val="0"/>
                    <w:spacing w:after="0" w:line="240" w:lineRule="auto"/>
                    <w:jc w:val="center"/>
                    <w:rPr>
                      <w:rFonts w:hint="eastAsia" w:eastAsia="宋体" w:cs="Times New Roman"/>
                      <w:sz w:val="24"/>
                      <w:szCs w:val="24"/>
                    </w:rPr>
                  </w:pPr>
                  <w:r>
                    <w:rPr>
                      <w:rFonts w:hint="eastAsia" w:eastAsia="宋体" w:cs="Times New Roman"/>
                      <w:sz w:val="24"/>
                      <w:szCs w:val="24"/>
                    </w:rPr>
                    <w:t>王露</w:t>
                  </w:r>
                </w:p>
                <w:p w14:paraId="5275EFBF">
                  <w:pPr>
                    <w:widowControl w:val="0"/>
                    <w:spacing w:after="0" w:line="240" w:lineRule="auto"/>
                    <w:jc w:val="center"/>
                    <w:rPr>
                      <w:rFonts w:eastAsia="宋体" w:cs="Times New Roman"/>
                      <w:sz w:val="24"/>
                      <w:szCs w:val="24"/>
                    </w:rPr>
                  </w:pPr>
                  <w:r>
                    <w:rPr>
                      <w:rFonts w:hint="eastAsia" w:eastAsia="宋体" w:cs="Times New Roman"/>
                      <w:sz w:val="24"/>
                      <w:szCs w:val="24"/>
                    </w:rPr>
                    <w:t>15917907163</w:t>
                  </w:r>
                </w:p>
              </w:tc>
            </w:tr>
            <w:tr w14:paraId="6967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475" w:type="dxa"/>
                  <w:vAlign w:val="center"/>
                </w:tcPr>
                <w:p w14:paraId="45A61686">
                  <w:pPr>
                    <w:widowControl w:val="0"/>
                    <w:spacing w:after="0" w:line="240" w:lineRule="auto"/>
                    <w:jc w:val="center"/>
                    <w:rPr>
                      <w:rFonts w:eastAsia="宋体" w:cs="Times New Roman"/>
                      <w:sz w:val="24"/>
                      <w:szCs w:val="24"/>
                    </w:rPr>
                  </w:pPr>
                  <w:r>
                    <w:rPr>
                      <w:rFonts w:eastAsia="宋体" w:cs="Times New Roman"/>
                      <w:sz w:val="24"/>
                      <w:szCs w:val="24"/>
                    </w:rPr>
                    <w:t>3</w:t>
                  </w:r>
                </w:p>
              </w:tc>
              <w:tc>
                <w:tcPr>
                  <w:tcW w:w="1180" w:type="dxa"/>
                  <w:vAlign w:val="center"/>
                </w:tcPr>
                <w:p w14:paraId="0FBADC6A">
                  <w:pPr>
                    <w:widowControl w:val="0"/>
                    <w:spacing w:after="0" w:line="240" w:lineRule="auto"/>
                    <w:jc w:val="center"/>
                    <w:rPr>
                      <w:rFonts w:eastAsia="宋体" w:cs="Times New Roman"/>
                      <w:sz w:val="24"/>
                      <w:szCs w:val="24"/>
                    </w:rPr>
                  </w:pPr>
                  <w:r>
                    <w:rPr>
                      <w:rFonts w:hint="eastAsia" w:eastAsia="宋体" w:cs="Times New Roman"/>
                      <w:sz w:val="24"/>
                      <w:szCs w:val="24"/>
                    </w:rPr>
                    <w:t>广州巢素科技有限公司</w:t>
                  </w:r>
                </w:p>
              </w:tc>
              <w:tc>
                <w:tcPr>
                  <w:tcW w:w="1970" w:type="dxa"/>
                  <w:vAlign w:val="center"/>
                </w:tcPr>
                <w:p w14:paraId="0EA677CC">
                  <w:pPr>
                    <w:widowControl w:val="0"/>
                    <w:spacing w:after="0" w:line="240" w:lineRule="auto"/>
                    <w:jc w:val="center"/>
                    <w:rPr>
                      <w:rFonts w:eastAsia="宋体" w:cs="Times New Roman"/>
                      <w:sz w:val="24"/>
                      <w:szCs w:val="20"/>
                    </w:rPr>
                  </w:pPr>
                  <w:r>
                    <w:rPr>
                      <w:rFonts w:eastAsia="宋体" w:cs="Times New Roman"/>
                      <w:sz w:val="24"/>
                      <w:szCs w:val="20"/>
                    </w:rPr>
                    <w:t>融合粒计算与群决策的智能决策理论模型与方法</w:t>
                  </w:r>
                </w:p>
              </w:tc>
              <w:tc>
                <w:tcPr>
                  <w:tcW w:w="1440" w:type="dxa"/>
                  <w:vAlign w:val="center"/>
                </w:tcPr>
                <w:p w14:paraId="234E83CF">
                  <w:pPr>
                    <w:widowControl w:val="0"/>
                    <w:spacing w:after="0" w:line="240" w:lineRule="auto"/>
                    <w:jc w:val="center"/>
                    <w:rPr>
                      <w:rFonts w:eastAsia="宋体" w:cs="Times New Roman"/>
                      <w:spacing w:val="2"/>
                      <w:position w:val="-2"/>
                      <w:sz w:val="24"/>
                      <w:szCs w:val="24"/>
                    </w:rPr>
                  </w:pPr>
                  <w:r>
                    <w:rPr>
                      <w:rFonts w:hint="eastAsia" w:eastAsia="宋体" w:cs="Times New Roman"/>
                      <w:spacing w:val="2"/>
                      <w:position w:val="-2"/>
                      <w:sz w:val="24"/>
                      <w:szCs w:val="24"/>
                    </w:rPr>
                    <w:t>海量基因组学、蛋白质组学及历史试验数据</w:t>
                  </w:r>
                </w:p>
              </w:tc>
              <w:tc>
                <w:tcPr>
                  <w:tcW w:w="1490" w:type="dxa"/>
                  <w:vAlign w:val="center"/>
                </w:tcPr>
                <w:p w14:paraId="1623669B">
                  <w:pPr>
                    <w:widowControl w:val="0"/>
                    <w:spacing w:after="0" w:line="240" w:lineRule="auto"/>
                    <w:jc w:val="center"/>
                    <w:rPr>
                      <w:rFonts w:eastAsia="宋体" w:cs="Times New Roman"/>
                      <w:sz w:val="24"/>
                      <w:szCs w:val="24"/>
                    </w:rPr>
                  </w:pPr>
                  <w:r>
                    <w:rPr>
                      <w:rFonts w:eastAsia="宋体" w:cs="Times New Roman"/>
                      <w:sz w:val="24"/>
                      <w:szCs w:val="24"/>
                    </w:rPr>
                    <w:t>202</w:t>
                  </w:r>
                  <w:r>
                    <w:rPr>
                      <w:rFonts w:hint="eastAsia" w:eastAsia="宋体" w:cs="Times New Roman"/>
                      <w:sz w:val="24"/>
                      <w:szCs w:val="24"/>
                    </w:rPr>
                    <w:t>3</w:t>
                  </w:r>
                  <w:r>
                    <w:rPr>
                      <w:rFonts w:eastAsia="宋体" w:cs="Times New Roman"/>
                      <w:sz w:val="24"/>
                      <w:szCs w:val="24"/>
                    </w:rPr>
                    <w:t>.0</w:t>
                  </w:r>
                  <w:r>
                    <w:rPr>
                      <w:rFonts w:hint="eastAsia" w:eastAsia="宋体" w:cs="Times New Roman"/>
                      <w:sz w:val="24"/>
                      <w:szCs w:val="24"/>
                    </w:rPr>
                    <w:t>1</w:t>
                  </w:r>
                  <w:r>
                    <w:rPr>
                      <w:rFonts w:eastAsia="宋体" w:cs="Times New Roman"/>
                      <w:sz w:val="24"/>
                      <w:szCs w:val="24"/>
                    </w:rPr>
                    <w:t>.</w:t>
                  </w:r>
                  <w:r>
                    <w:rPr>
                      <w:rFonts w:hint="eastAsia" w:eastAsia="宋体" w:cs="Times New Roman"/>
                      <w:sz w:val="24"/>
                      <w:szCs w:val="24"/>
                    </w:rPr>
                    <w:t>01</w:t>
                  </w:r>
                </w:p>
                <w:p w14:paraId="672409F2">
                  <w:pPr>
                    <w:widowControl w:val="0"/>
                    <w:spacing w:after="0" w:line="240" w:lineRule="auto"/>
                    <w:jc w:val="center"/>
                    <w:rPr>
                      <w:rFonts w:eastAsia="宋体" w:cs="Times New Roman"/>
                      <w:sz w:val="24"/>
                      <w:szCs w:val="24"/>
                    </w:rPr>
                  </w:pPr>
                  <w:r>
                    <w:rPr>
                      <w:rFonts w:eastAsia="宋体" w:cs="Times New Roman"/>
                      <w:sz w:val="24"/>
                      <w:szCs w:val="24"/>
                    </w:rPr>
                    <w:t>-</w:t>
                  </w:r>
                  <w:r>
                    <w:rPr>
                      <w:rFonts w:hint="eastAsia" w:eastAsia="宋体" w:cs="Times New Roman"/>
                      <w:sz w:val="24"/>
                      <w:szCs w:val="24"/>
                    </w:rPr>
                    <w:t>-</w:t>
                  </w:r>
                </w:p>
                <w:p w14:paraId="6C9E673F">
                  <w:pPr>
                    <w:widowControl w:val="0"/>
                    <w:spacing w:after="0" w:line="240" w:lineRule="auto"/>
                    <w:jc w:val="center"/>
                    <w:rPr>
                      <w:rFonts w:eastAsia="宋体" w:cs="Times New Roman"/>
                      <w:sz w:val="24"/>
                      <w:szCs w:val="24"/>
                    </w:rPr>
                  </w:pPr>
                  <w:r>
                    <w:rPr>
                      <w:rFonts w:eastAsia="宋体" w:cs="Times New Roman"/>
                      <w:sz w:val="24"/>
                      <w:szCs w:val="24"/>
                    </w:rPr>
                    <w:t>2026.08.21</w:t>
                  </w:r>
                </w:p>
              </w:tc>
              <w:tc>
                <w:tcPr>
                  <w:tcW w:w="1540" w:type="dxa"/>
                  <w:vAlign w:val="center"/>
                </w:tcPr>
                <w:p w14:paraId="13EBD007">
                  <w:pPr>
                    <w:widowControl w:val="0"/>
                    <w:spacing w:after="0" w:line="240" w:lineRule="auto"/>
                    <w:jc w:val="center"/>
                    <w:rPr>
                      <w:rFonts w:hint="eastAsia" w:eastAsia="宋体" w:cs="Times New Roman"/>
                      <w:sz w:val="24"/>
                      <w:szCs w:val="24"/>
                    </w:rPr>
                  </w:pPr>
                  <w:r>
                    <w:rPr>
                      <w:rFonts w:hint="eastAsia" w:eastAsia="宋体" w:cs="Times New Roman"/>
                      <w:sz w:val="24"/>
                      <w:szCs w:val="24"/>
                    </w:rPr>
                    <w:t>方思南</w:t>
                  </w:r>
                </w:p>
                <w:p w14:paraId="589864FF">
                  <w:pPr>
                    <w:widowControl w:val="0"/>
                    <w:spacing w:after="0" w:line="240" w:lineRule="auto"/>
                    <w:jc w:val="center"/>
                    <w:rPr>
                      <w:rFonts w:hint="eastAsia" w:eastAsia="宋体" w:cs="Times New Roman"/>
                      <w:sz w:val="24"/>
                      <w:szCs w:val="24"/>
                    </w:rPr>
                  </w:pPr>
                  <w:r>
                    <w:rPr>
                      <w:rFonts w:hint="eastAsia" w:eastAsia="宋体" w:cs="Times New Roman"/>
                      <w:sz w:val="24"/>
                      <w:szCs w:val="24"/>
                    </w:rPr>
                    <w:t>18988922011</w:t>
                  </w:r>
                </w:p>
              </w:tc>
            </w:tr>
          </w:tbl>
          <w:p w14:paraId="36B9BF4D">
            <w:pPr>
              <w:widowControl w:val="0"/>
              <w:spacing w:after="0" w:line="420" w:lineRule="exact"/>
              <w:ind w:firstLine="490" w:firstLineChars="200"/>
              <w:jc w:val="both"/>
              <w:rPr>
                <w:rFonts w:eastAsia="宋体" w:cs="Times New Roman"/>
                <w:b/>
                <w:bCs/>
                <w:spacing w:val="2"/>
                <w:position w:val="-2"/>
                <w:sz w:val="24"/>
                <w:szCs w:val="24"/>
              </w:rPr>
            </w:pPr>
          </w:p>
          <w:p w14:paraId="423DE32F">
            <w:pPr>
              <w:widowControl w:val="0"/>
              <w:spacing w:after="0" w:line="420" w:lineRule="exact"/>
              <w:ind w:firstLine="490" w:firstLineChars="200"/>
              <w:jc w:val="both"/>
              <w:rPr>
                <w:rFonts w:eastAsia="宋体" w:cs="Times New Roman"/>
                <w:spacing w:val="2"/>
                <w:position w:val="-2"/>
                <w:sz w:val="24"/>
                <w:szCs w:val="24"/>
              </w:rPr>
            </w:pPr>
            <w:r>
              <w:rPr>
                <w:rFonts w:hint="eastAsia" w:eastAsia="宋体" w:cs="Times New Roman"/>
                <w:b/>
                <w:bCs/>
                <w:spacing w:val="2"/>
                <w:position w:val="-2"/>
                <w:sz w:val="24"/>
                <w:szCs w:val="24"/>
              </w:rPr>
              <w:t>罗定市</w:t>
            </w:r>
            <w:r>
              <w:rPr>
                <w:rFonts w:eastAsia="宋体" w:cs="Times New Roman"/>
                <w:b/>
                <w:bCs/>
                <w:spacing w:val="2"/>
                <w:position w:val="-2"/>
                <w:sz w:val="24"/>
                <w:szCs w:val="24"/>
              </w:rPr>
              <w:t>中医院</w:t>
            </w:r>
            <w:r>
              <w:rPr>
                <w:rFonts w:hint="eastAsia" w:eastAsia="宋体" w:cs="Times New Roman"/>
                <w:b/>
                <w:bCs/>
                <w:spacing w:val="2"/>
                <w:position w:val="-2"/>
                <w:sz w:val="24"/>
                <w:szCs w:val="24"/>
              </w:rPr>
              <w:t>：</w:t>
            </w:r>
            <w:r>
              <w:rPr>
                <w:rFonts w:eastAsia="宋体" w:cs="Times New Roman"/>
                <w:spacing w:val="2"/>
                <w:position w:val="-2"/>
                <w:sz w:val="24"/>
                <w:szCs w:val="24"/>
              </w:rPr>
              <w:t>本项目的基础理论研究成果对</w:t>
            </w:r>
            <w:r>
              <w:rPr>
                <w:rFonts w:hint="eastAsia" w:eastAsia="宋体" w:cs="Times New Roman"/>
                <w:spacing w:val="2"/>
                <w:position w:val="-2"/>
                <w:sz w:val="24"/>
                <w:szCs w:val="24"/>
              </w:rPr>
              <w:t>罗定市</w:t>
            </w:r>
            <w:r>
              <w:rPr>
                <w:rFonts w:eastAsia="宋体" w:cs="Times New Roman"/>
                <w:spacing w:val="2"/>
                <w:position w:val="-2"/>
                <w:sz w:val="24"/>
                <w:szCs w:val="24"/>
              </w:rPr>
              <w:t>中医院类风湿科的临床诊疗实践工作起到实质性的指导价值，提升了临床医生的诊疗效果，产生了非常有价值和重要的社会效应。其中2020年发表在Information Sciences 535 (2020) 28-41上的论文得出的</w:t>
            </w:r>
            <w:r>
              <w:rPr>
                <w:rFonts w:eastAsia="宋体" w:cs="Times New Roman"/>
                <w:b/>
                <w:bCs/>
                <w:spacing w:val="2"/>
                <w:position w:val="-2"/>
                <w:sz w:val="24"/>
                <w:szCs w:val="24"/>
              </w:rPr>
              <w:t>关于痛风患者与患者自身肝功和肾功之间内在关系的新结论</w:t>
            </w:r>
            <w:r>
              <w:rPr>
                <w:rFonts w:eastAsia="宋体" w:cs="Times New Roman"/>
                <w:spacing w:val="2"/>
                <w:position w:val="-2"/>
                <w:sz w:val="24"/>
                <w:szCs w:val="24"/>
              </w:rPr>
              <w:t>，</w:t>
            </w:r>
            <w:r>
              <w:rPr>
                <w:rFonts w:eastAsia="宋体" w:cs="Times New Roman"/>
                <w:b/>
                <w:bCs/>
                <w:spacing w:val="2"/>
                <w:position w:val="-2"/>
                <w:sz w:val="24"/>
                <w:szCs w:val="24"/>
              </w:rPr>
              <w:t>已在</w:t>
            </w:r>
            <w:r>
              <w:rPr>
                <w:rFonts w:hint="eastAsia" w:eastAsia="宋体" w:cs="Times New Roman"/>
                <w:b/>
                <w:bCs/>
                <w:spacing w:val="2"/>
                <w:position w:val="-2"/>
                <w:sz w:val="24"/>
                <w:szCs w:val="24"/>
              </w:rPr>
              <w:t>罗定市</w:t>
            </w:r>
            <w:r>
              <w:rPr>
                <w:rFonts w:eastAsia="宋体" w:cs="Times New Roman"/>
                <w:b/>
                <w:bCs/>
                <w:spacing w:val="2"/>
                <w:position w:val="-2"/>
                <w:sz w:val="24"/>
                <w:szCs w:val="24"/>
              </w:rPr>
              <w:t>中医院风湿科开展转化应用研究</w:t>
            </w:r>
            <w:r>
              <w:rPr>
                <w:rFonts w:eastAsia="宋体" w:cs="Times New Roman"/>
                <w:spacing w:val="2"/>
                <w:position w:val="-2"/>
                <w:sz w:val="24"/>
                <w:szCs w:val="24"/>
              </w:rPr>
              <w:t>。本结论受到</w:t>
            </w:r>
            <w:r>
              <w:rPr>
                <w:rFonts w:hint="eastAsia" w:eastAsia="宋体" w:cs="Times New Roman"/>
                <w:spacing w:val="2"/>
                <w:position w:val="-2"/>
                <w:sz w:val="24"/>
                <w:szCs w:val="24"/>
              </w:rPr>
              <w:t>罗定市</w:t>
            </w:r>
            <w:r>
              <w:rPr>
                <w:rFonts w:eastAsia="宋体" w:cs="Times New Roman"/>
                <w:spacing w:val="2"/>
                <w:position w:val="-2"/>
                <w:sz w:val="24"/>
                <w:szCs w:val="24"/>
              </w:rPr>
              <w:t>中医院痛风临床医生的高度认可，门诊医生的诊断思维也从传统的只关注尿酸的指标值转变为分类综合观察男性的尿酸、肾功与女性的血脂、肝功。研究结论的门诊应用能够显著降低痛风的误诊率、减少过度检查项目、缩短就诊时间，并且提高了门诊决策效率。</w:t>
            </w:r>
          </w:p>
          <w:p w14:paraId="5B416C79">
            <w:pPr>
              <w:widowControl w:val="0"/>
              <w:spacing w:after="0" w:line="420" w:lineRule="exact"/>
              <w:ind w:firstLine="482" w:firstLineChars="200"/>
              <w:jc w:val="both"/>
              <w:rPr>
                <w:rFonts w:eastAsia="宋体" w:cs="Times New Roman"/>
                <w:spacing w:val="2"/>
                <w:position w:val="-2"/>
                <w:sz w:val="24"/>
                <w:szCs w:val="24"/>
              </w:rPr>
            </w:pPr>
            <w:r>
              <w:rPr>
                <w:rFonts w:eastAsia="宋体" w:cs="Times New Roman"/>
                <w:b/>
                <w:bCs/>
                <w:sz w:val="24"/>
                <w:szCs w:val="24"/>
              </w:rPr>
              <w:t>广州市研培生物科技有限公司</w:t>
            </w:r>
            <w:r>
              <w:rPr>
                <w:rFonts w:hint="eastAsia" w:eastAsia="宋体" w:cs="Times New Roman"/>
                <w:b/>
                <w:bCs/>
                <w:sz w:val="24"/>
                <w:szCs w:val="24"/>
              </w:rPr>
              <w:t>：</w:t>
            </w:r>
            <w:r>
              <w:rPr>
                <w:rFonts w:eastAsia="宋体" w:cs="Times New Roman"/>
                <w:spacing w:val="2"/>
                <w:position w:val="-2"/>
                <w:sz w:val="24"/>
                <w:szCs w:val="24"/>
              </w:rPr>
              <w:t>本项目的基础理论研究成果为广州市研培生物科技有限公司健康服务体系的构建提供了科学的理论支撑。其</w:t>
            </w:r>
            <w:r>
              <w:rPr>
                <w:rFonts w:hint="eastAsia" w:eastAsia="宋体" w:cs="Times New Roman"/>
                <w:spacing w:val="2"/>
                <w:position w:val="-2"/>
                <w:sz w:val="24"/>
                <w:szCs w:val="24"/>
              </w:rPr>
              <w:t>中</w:t>
            </w:r>
            <w:r>
              <w:rPr>
                <w:rFonts w:eastAsia="宋体" w:cs="Times New Roman"/>
                <w:spacing w:val="2"/>
                <w:position w:val="-2"/>
                <w:sz w:val="24"/>
                <w:szCs w:val="24"/>
              </w:rPr>
              <w:t>2024年</w:t>
            </w:r>
            <w:r>
              <w:rPr>
                <w:rFonts w:hint="eastAsia" w:eastAsia="宋体" w:cs="Times New Roman"/>
                <w:spacing w:val="2"/>
                <w:position w:val="-2"/>
                <w:sz w:val="24"/>
                <w:szCs w:val="24"/>
              </w:rPr>
              <w:t>在线</w:t>
            </w:r>
            <w:r>
              <w:rPr>
                <w:rFonts w:eastAsia="宋体" w:cs="Times New Roman"/>
                <w:spacing w:val="2"/>
                <w:position w:val="-2"/>
                <w:sz w:val="24"/>
                <w:szCs w:val="24"/>
              </w:rPr>
              <w:t>发表在Expert Systems With Applications 265 (2025) 125983上的</w:t>
            </w:r>
            <w:r>
              <w:rPr>
                <w:rFonts w:eastAsia="宋体" w:cs="Times New Roman"/>
                <w:b/>
                <w:bCs/>
                <w:spacing w:val="2"/>
                <w:position w:val="-2"/>
                <w:sz w:val="24"/>
                <w:szCs w:val="24"/>
              </w:rPr>
              <w:t>论文提出了一种临床数据标准化的处理方法，并通过粒化策略模拟了医生的认知行为，设计出了辅助临床工作者的智能诊断模型。该成果已在广州市研培生物科技有限公司开展应用实践，帮助了公司对客户的生物样本检测报告及健康数据进行深度解读与评估</w:t>
            </w:r>
            <w:r>
              <w:rPr>
                <w:rFonts w:eastAsia="宋体" w:cs="Times New Roman"/>
                <w:spacing w:val="2"/>
                <w:position w:val="-2"/>
                <w:sz w:val="24"/>
                <w:szCs w:val="24"/>
              </w:rPr>
              <w:t>，不仅实现了海量健康信息的标准化与智能分析，而且为个性化干预方案的制定提供了精准的数据支撑。</w:t>
            </w:r>
          </w:p>
          <w:p w14:paraId="77EB3518">
            <w:pPr>
              <w:widowControl w:val="0"/>
              <w:spacing w:after="0" w:line="420" w:lineRule="exact"/>
              <w:ind w:firstLine="488" w:firstLineChars="200"/>
              <w:jc w:val="both"/>
              <w:rPr>
                <w:rFonts w:eastAsia="宋体" w:cs="Times New Roman"/>
                <w:spacing w:val="2"/>
                <w:position w:val="-2"/>
                <w:sz w:val="24"/>
                <w:szCs w:val="24"/>
              </w:rPr>
            </w:pPr>
            <w:r>
              <w:rPr>
                <w:rFonts w:eastAsia="宋体" w:cs="Times New Roman"/>
                <w:spacing w:val="2"/>
                <w:position w:val="-2"/>
                <w:sz w:val="24"/>
                <w:szCs w:val="24"/>
              </w:rPr>
              <w:t>在实践应用中，</w:t>
            </w:r>
            <w:r>
              <w:rPr>
                <w:rFonts w:eastAsia="宋体" w:cs="Times New Roman"/>
                <w:b/>
                <w:bCs/>
                <w:spacing w:val="2"/>
                <w:position w:val="-2"/>
                <w:sz w:val="24"/>
                <w:szCs w:val="24"/>
              </w:rPr>
              <w:t>基于本项目的代表性论文构建了集数据采集、清洗、挖掘与可视化于一体的智能决策支持系统</w:t>
            </w:r>
            <w:r>
              <w:rPr>
                <w:rFonts w:eastAsia="宋体" w:cs="Times New Roman"/>
                <w:spacing w:val="2"/>
                <w:position w:val="-2"/>
                <w:sz w:val="24"/>
                <w:szCs w:val="24"/>
              </w:rPr>
              <w:t>。该系统核心在于运用机器学习与多目标优化算法，对千万量级的体检数据进行深度分析，精准挖掘潜在健康风险因子、地域性疾病谱系以及人群健康趋势，为公共卫生研究提供了宝贵的决策依据。实践证明，面向真实医疗复杂情景特征的智能决策分析理论的系统化应用，不仅</w:t>
            </w:r>
            <w:r>
              <w:rPr>
                <w:rFonts w:hint="eastAsia" w:eastAsia="宋体" w:cs="Times New Roman"/>
                <w:spacing w:val="2"/>
                <w:position w:val="-2"/>
                <w:sz w:val="24"/>
                <w:szCs w:val="24"/>
              </w:rPr>
              <w:t>极大</w:t>
            </w:r>
            <w:r>
              <w:rPr>
                <w:rFonts w:eastAsia="宋体" w:cs="Times New Roman"/>
                <w:spacing w:val="2"/>
                <w:position w:val="-2"/>
                <w:sz w:val="24"/>
                <w:szCs w:val="24"/>
              </w:rPr>
              <w:t>提升了公司运营效率与服务品质，更强化了公司</w:t>
            </w:r>
            <w:r>
              <w:rPr>
                <w:rFonts w:hint="eastAsia" w:eastAsia="宋体" w:cs="Times New Roman"/>
                <w:spacing w:val="2"/>
                <w:position w:val="-2"/>
                <w:sz w:val="24"/>
                <w:szCs w:val="24"/>
              </w:rPr>
              <w:t>“</w:t>
            </w:r>
            <w:r>
              <w:rPr>
                <w:rFonts w:eastAsia="宋体" w:cs="Times New Roman"/>
                <w:spacing w:val="2"/>
                <w:position w:val="-2"/>
                <w:sz w:val="24"/>
                <w:szCs w:val="24"/>
              </w:rPr>
              <w:t>早筛查、早评估、早干预</w:t>
            </w:r>
            <w:r>
              <w:rPr>
                <w:rFonts w:hint="eastAsia" w:eastAsia="宋体" w:cs="Times New Roman"/>
                <w:spacing w:val="2"/>
                <w:position w:val="-2"/>
                <w:sz w:val="24"/>
                <w:szCs w:val="24"/>
              </w:rPr>
              <w:t>”</w:t>
            </w:r>
            <w:r>
              <w:rPr>
                <w:rFonts w:eastAsia="宋体" w:cs="Times New Roman"/>
                <w:spacing w:val="2"/>
                <w:position w:val="-2"/>
                <w:sz w:val="24"/>
                <w:szCs w:val="24"/>
              </w:rPr>
              <w:t>的核心能力，为构建数智化健康管理新范式奠定了坚实基础。实践证明，将智能决策理论与生物科技创新深度融合的应用管理模式能够在有效提升个体健康水平的同时为公司创造良好的口碑和市场竞争力。</w:t>
            </w:r>
          </w:p>
          <w:p w14:paraId="1560E371">
            <w:pPr>
              <w:widowControl w:val="0"/>
              <w:spacing w:after="0" w:line="420" w:lineRule="exact"/>
              <w:ind w:firstLine="490" w:firstLineChars="200"/>
              <w:jc w:val="both"/>
              <w:rPr>
                <w:rFonts w:eastAsia="宋体" w:cs="Times New Roman"/>
                <w:spacing w:val="2"/>
                <w:position w:val="-2"/>
                <w:sz w:val="24"/>
                <w:szCs w:val="24"/>
              </w:rPr>
            </w:pPr>
            <w:r>
              <w:rPr>
                <w:rFonts w:hint="eastAsia" w:eastAsia="宋体" w:cs="Times New Roman"/>
                <w:b/>
                <w:bCs/>
                <w:spacing w:val="2"/>
                <w:position w:val="-2"/>
                <w:sz w:val="24"/>
                <w:szCs w:val="24"/>
              </w:rPr>
              <w:t>广州巢素科技有限公司：</w:t>
            </w:r>
            <w:r>
              <w:rPr>
                <w:rFonts w:eastAsia="宋体" w:cs="Times New Roman"/>
                <w:spacing w:val="2"/>
                <w:position w:val="-2"/>
                <w:sz w:val="24"/>
                <w:szCs w:val="24"/>
              </w:rPr>
              <w:t>本项目所构建的智能决策理论与方法已被成功引入到公司的研发端。</w:t>
            </w:r>
            <w:r>
              <w:rPr>
                <w:rFonts w:eastAsia="宋体" w:cs="Times New Roman"/>
                <w:b/>
                <w:bCs/>
                <w:spacing w:val="2"/>
                <w:position w:val="-2"/>
                <w:sz w:val="24"/>
                <w:szCs w:val="24"/>
              </w:rPr>
              <w:t>通过系统利用融合粒计算与群决策的智能决策理论模型与方法，对海量基因组学、蛋白质组学及历史试验数据进行分析，智能预测候选药物的成药概率及潜在毒副作用，优化试验方案</w:t>
            </w:r>
            <w:r>
              <w:rPr>
                <w:rFonts w:eastAsia="宋体" w:cs="Times New Roman"/>
                <w:spacing w:val="2"/>
                <w:position w:val="-2"/>
                <w:sz w:val="24"/>
                <w:szCs w:val="24"/>
              </w:rPr>
              <w:t>，从而大幅降低了早期研发的失败率，加速了候选药物向临床的转化。实践证明，智能决策分析理论是公司实现创新突破及构建核心竞争力的关键引擎，为公司在新药研发和市场竞争中赢得了先机。</w:t>
            </w:r>
          </w:p>
          <w:p w14:paraId="0FE5135B">
            <w:pPr>
              <w:widowControl w:val="0"/>
              <w:spacing w:after="0" w:line="420" w:lineRule="exact"/>
              <w:ind w:firstLine="488" w:firstLineChars="200"/>
              <w:jc w:val="both"/>
              <w:rPr>
                <w:rFonts w:eastAsia="宋体" w:cs="Times New Roman"/>
                <w:sz w:val="24"/>
                <w:szCs w:val="32"/>
              </w:rPr>
            </w:pPr>
            <w:r>
              <w:rPr>
                <w:rFonts w:hint="eastAsia" w:eastAsia="宋体" w:cs="Times New Roman"/>
                <w:spacing w:val="2"/>
                <w:position w:val="-2"/>
                <w:sz w:val="24"/>
                <w:szCs w:val="32"/>
              </w:rPr>
              <w:t>此外</w:t>
            </w:r>
            <w:r>
              <w:rPr>
                <w:rFonts w:eastAsia="宋体" w:cs="Times New Roman"/>
                <w:spacing w:val="2"/>
                <w:position w:val="-2"/>
                <w:sz w:val="24"/>
                <w:szCs w:val="32"/>
              </w:rPr>
              <w:t>，</w:t>
            </w:r>
            <w:r>
              <w:rPr>
                <w:rFonts w:eastAsia="宋体" w:cs="Times New Roman"/>
                <w:sz w:val="24"/>
                <w:szCs w:val="32"/>
              </w:rPr>
              <w:t>第一完成人先后受邀到陕西中医药大学、2021年度长安医疗管理创新论坛等作学术报告与科研交流。同时，2024年作为特邀专家受邀参加由广东省中医院承办、由国家级中医药继续教育项目支持的第二届中医证据资源建设与临床实践指南转化技术培训班授课。通过学术交流，分享了本项目的研究成果，推动了不同领域学者的思想碰撞，从而助力了智慧医疗的发展建设。</w:t>
            </w:r>
          </w:p>
          <w:p w14:paraId="21F2329C">
            <w:pPr>
              <w:widowControl w:val="0"/>
              <w:spacing w:after="0" w:line="420" w:lineRule="exact"/>
              <w:ind w:firstLine="480" w:firstLineChars="200"/>
              <w:jc w:val="both"/>
              <w:rPr>
                <w:rFonts w:eastAsia="宋体" w:cs="Times New Roman"/>
                <w:sz w:val="24"/>
                <w:szCs w:val="32"/>
              </w:rPr>
            </w:pPr>
          </w:p>
          <w:p w14:paraId="18F80778">
            <w:pPr>
              <w:widowControl w:val="0"/>
              <w:spacing w:after="0" w:line="420" w:lineRule="exact"/>
              <w:ind w:firstLine="488" w:firstLineChars="200"/>
              <w:jc w:val="both"/>
              <w:rPr>
                <w:rFonts w:hint="eastAsia" w:eastAsia="宋体" w:cs="Times New Roman"/>
                <w:spacing w:val="2"/>
                <w:position w:val="-2"/>
                <w:sz w:val="24"/>
                <w:szCs w:val="24"/>
              </w:rPr>
            </w:pPr>
          </w:p>
        </w:tc>
      </w:tr>
      <w:tr w14:paraId="18B0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73E0F8AA">
            <w:pPr>
              <w:snapToGrid w:val="0"/>
              <w:spacing w:after="0" w:line="240" w:lineRule="auto"/>
              <w:jc w:val="center"/>
              <w:rPr>
                <w:rFonts w:cs="Times New Roman" w:eastAsiaTheme="minorEastAsia"/>
                <w:kern w:val="0"/>
                <w:sz w:val="24"/>
              </w:rPr>
            </w:pPr>
            <w:r>
              <w:rPr>
                <w:rFonts w:hint="eastAsia" w:cs="Times New Roman" w:eastAsiaTheme="minorEastAsia"/>
                <w:b/>
                <w:bCs/>
                <w:kern w:val="0"/>
                <w:sz w:val="24"/>
              </w:rPr>
              <w:t>完成人合作关系说明</w:t>
            </w:r>
          </w:p>
        </w:tc>
      </w:tr>
      <w:tr w14:paraId="2D2D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7FFFC8E5">
            <w:pPr>
              <w:widowControl w:val="0"/>
              <w:spacing w:after="0" w:line="420" w:lineRule="exact"/>
              <w:ind w:firstLine="480" w:firstLineChars="200"/>
              <w:jc w:val="both"/>
              <w:rPr>
                <w:rFonts w:hint="eastAsia" w:eastAsia="宋体" w:cs="Times New Roman"/>
                <w:bCs/>
                <w:sz w:val="24"/>
                <w:szCs w:val="24"/>
              </w:rPr>
            </w:pPr>
            <w:r>
              <w:rPr>
                <w:rFonts w:eastAsia="宋体" w:cs="Times New Roman"/>
                <w:bCs/>
                <w:sz w:val="24"/>
                <w:szCs w:val="24"/>
              </w:rPr>
              <w:t>本项目的</w:t>
            </w:r>
            <w:r>
              <w:rPr>
                <w:rFonts w:hint="eastAsia" w:eastAsia="宋体" w:cs="Times New Roman"/>
                <w:bCs/>
                <w:sz w:val="24"/>
                <w:szCs w:val="24"/>
              </w:rPr>
              <w:t>5个主要知识产权（即所列的</w:t>
            </w:r>
            <w:r>
              <w:rPr>
                <w:rFonts w:eastAsia="宋体" w:cs="Times New Roman"/>
                <w:bCs/>
                <w:sz w:val="24"/>
                <w:szCs w:val="24"/>
              </w:rPr>
              <w:t>5 篇代表性论文</w:t>
            </w:r>
            <w:r>
              <w:rPr>
                <w:rFonts w:hint="eastAsia" w:eastAsia="宋体" w:cs="Times New Roman"/>
                <w:bCs/>
                <w:sz w:val="24"/>
                <w:szCs w:val="24"/>
              </w:rPr>
              <w:t>）</w:t>
            </w:r>
            <w:r>
              <w:rPr>
                <w:rFonts w:eastAsia="宋体" w:cs="Times New Roman"/>
                <w:bCs/>
                <w:sz w:val="24"/>
                <w:szCs w:val="24"/>
              </w:rPr>
              <w:t>由孙秉珍（本人，第一完成人）于西安电子科技大学工作期间完成。其中，代表性论文[1]由第一完成人与其指导的2023级博士生</w:t>
            </w:r>
            <w:r>
              <w:rPr>
                <w:rFonts w:hint="eastAsia" w:eastAsia="宋体" w:cs="Times New Roman"/>
                <w:bCs/>
                <w:sz w:val="24"/>
                <w:szCs w:val="24"/>
              </w:rPr>
              <w:t>赵羲轩</w:t>
            </w:r>
            <w:r>
              <w:rPr>
                <w:rFonts w:eastAsia="宋体" w:cs="Times New Roman"/>
                <w:bCs/>
                <w:sz w:val="24"/>
                <w:szCs w:val="24"/>
              </w:rPr>
              <w:t>（第</w:t>
            </w:r>
            <w:r>
              <w:rPr>
                <w:rFonts w:hint="eastAsia" w:eastAsia="宋体" w:cs="Times New Roman"/>
                <w:bCs/>
                <w:sz w:val="24"/>
                <w:szCs w:val="24"/>
              </w:rPr>
              <w:t>四</w:t>
            </w:r>
            <w:r>
              <w:rPr>
                <w:rFonts w:eastAsia="宋体" w:cs="Times New Roman"/>
                <w:bCs/>
                <w:sz w:val="24"/>
                <w:szCs w:val="24"/>
              </w:rPr>
              <w:t>完成人）一起合作完成。代表性论文[2]由第一完成人与其指导的2021级博士生</w:t>
            </w:r>
            <w:r>
              <w:rPr>
                <w:rFonts w:hint="eastAsia" w:eastAsia="宋体" w:cs="Times New Roman"/>
                <w:bCs/>
                <w:sz w:val="24"/>
                <w:szCs w:val="24"/>
              </w:rPr>
              <w:t>叶进</w:t>
            </w:r>
            <w:r>
              <w:rPr>
                <w:rFonts w:eastAsia="宋体" w:cs="Times New Roman"/>
                <w:bCs/>
                <w:sz w:val="24"/>
                <w:szCs w:val="24"/>
              </w:rPr>
              <w:t>（</w:t>
            </w:r>
            <w:r>
              <w:rPr>
                <w:rFonts w:hint="eastAsia" w:eastAsia="宋体" w:cs="Times New Roman"/>
                <w:bCs/>
                <w:sz w:val="24"/>
                <w:szCs w:val="24"/>
              </w:rPr>
              <w:t>第三完成人</w:t>
            </w:r>
            <w:r>
              <w:rPr>
                <w:rFonts w:eastAsia="宋体" w:cs="Times New Roman"/>
                <w:bCs/>
                <w:sz w:val="24"/>
                <w:szCs w:val="24"/>
              </w:rPr>
              <w:t>）一起合作完成。代表性论文[3]是由第一完成人与其指导的2018级博士生楚晓丽（第二完成人）一起合作完成。代表性论文[4]是由第一完成人</w:t>
            </w:r>
            <w:r>
              <w:rPr>
                <w:rFonts w:hint="eastAsia" w:eastAsia="宋体" w:cs="Times New Roman"/>
                <w:bCs/>
                <w:sz w:val="24"/>
                <w:szCs w:val="24"/>
              </w:rPr>
              <w:t>与陈香堂（第五完成人）</w:t>
            </w:r>
            <w:r>
              <w:rPr>
                <w:rFonts w:eastAsia="宋体" w:cs="Times New Roman"/>
                <w:bCs/>
                <w:sz w:val="24"/>
                <w:szCs w:val="24"/>
              </w:rPr>
              <w:t>一起合作完成</w:t>
            </w:r>
            <w:r>
              <w:rPr>
                <w:rFonts w:hint="eastAsia" w:eastAsia="宋体" w:cs="Times New Roman"/>
                <w:bCs/>
                <w:sz w:val="24"/>
                <w:szCs w:val="24"/>
              </w:rPr>
              <w:t>。</w:t>
            </w:r>
            <w:r>
              <w:rPr>
                <w:rFonts w:eastAsia="宋体" w:cs="Times New Roman"/>
                <w:bCs/>
                <w:sz w:val="24"/>
                <w:szCs w:val="24"/>
              </w:rPr>
              <w:t>代表性论文[5]是由第一完成人与其指导的</w:t>
            </w:r>
            <w:r>
              <w:rPr>
                <w:rFonts w:hint="eastAsia" w:eastAsia="宋体" w:cs="Times New Roman"/>
                <w:bCs/>
                <w:sz w:val="24"/>
                <w:szCs w:val="24"/>
              </w:rPr>
              <w:t>2</w:t>
            </w:r>
            <w:r>
              <w:rPr>
                <w:rFonts w:eastAsia="宋体" w:cs="Times New Roman"/>
                <w:bCs/>
                <w:sz w:val="24"/>
                <w:szCs w:val="24"/>
              </w:rPr>
              <w:t>019</w:t>
            </w:r>
            <w:r>
              <w:rPr>
                <w:rFonts w:hint="eastAsia" w:eastAsia="宋体" w:cs="Times New Roman"/>
                <w:bCs/>
                <w:sz w:val="24"/>
                <w:szCs w:val="24"/>
              </w:rPr>
              <w:t>级博士生（第六完成人）</w:t>
            </w:r>
            <w:r>
              <w:rPr>
                <w:rFonts w:eastAsia="宋体" w:cs="Times New Roman"/>
                <w:bCs/>
                <w:sz w:val="24"/>
                <w:szCs w:val="24"/>
              </w:rPr>
              <w:t>一起合作完成</w:t>
            </w:r>
            <w:r>
              <w:rPr>
                <w:rFonts w:hint="eastAsia" w:eastAsia="宋体" w:cs="Times New Roman"/>
                <w:bCs/>
                <w:sz w:val="24"/>
                <w:szCs w:val="24"/>
              </w:rPr>
              <w:t>。所有代表性论文涉及到的未申报本次奖项的论文作者均已知情并同意本次报奖。</w:t>
            </w:r>
          </w:p>
          <w:p w14:paraId="24FEB9E0">
            <w:pPr>
              <w:widowControl w:val="0"/>
              <w:spacing w:after="0" w:line="420" w:lineRule="exact"/>
              <w:ind w:firstLine="480" w:firstLineChars="200"/>
              <w:jc w:val="both"/>
              <w:rPr>
                <w:rFonts w:eastAsia="宋体" w:cs="Times New Roman"/>
                <w:bCs/>
                <w:sz w:val="24"/>
                <w:szCs w:val="24"/>
              </w:rPr>
            </w:pPr>
            <w:r>
              <w:rPr>
                <w:rFonts w:eastAsia="宋体" w:cs="Times New Roman"/>
                <w:bCs/>
                <w:sz w:val="24"/>
                <w:szCs w:val="24"/>
              </w:rPr>
              <w:t>所有完成人的贡献和工作对本项目的整体进展起到了重要</w:t>
            </w:r>
            <w:r>
              <w:rPr>
                <w:rFonts w:hint="eastAsia" w:eastAsia="宋体" w:cs="Times New Roman"/>
                <w:bCs/>
                <w:sz w:val="24"/>
                <w:szCs w:val="24"/>
              </w:rPr>
              <w:t>的</w:t>
            </w:r>
            <w:r>
              <w:rPr>
                <w:rFonts w:eastAsia="宋体" w:cs="Times New Roman"/>
                <w:bCs/>
                <w:sz w:val="24"/>
                <w:szCs w:val="24"/>
              </w:rPr>
              <w:t>推动作用。此外，本项目的顺利完成也离不开本次申奖中自愿放弃列为完成人的合作者们的辛苦付出。</w:t>
            </w:r>
          </w:p>
          <w:p w14:paraId="32C4D05E">
            <w:pPr>
              <w:widowControl w:val="0"/>
              <w:spacing w:after="0" w:line="420" w:lineRule="exact"/>
              <w:ind w:firstLine="480" w:firstLineChars="200"/>
              <w:jc w:val="both"/>
              <w:rPr>
                <w:rFonts w:eastAsia="宋体" w:cs="Times New Roman"/>
                <w:bCs/>
                <w:sz w:val="24"/>
                <w:szCs w:val="24"/>
              </w:rPr>
            </w:pPr>
          </w:p>
          <w:p w14:paraId="745D8F93">
            <w:pPr>
              <w:widowControl w:val="0"/>
              <w:spacing w:after="0" w:line="420" w:lineRule="exact"/>
              <w:ind w:firstLine="480" w:firstLineChars="200"/>
              <w:jc w:val="both"/>
              <w:rPr>
                <w:rFonts w:hint="eastAsia" w:eastAsia="宋体" w:cs="Times New Roman"/>
                <w:bCs/>
                <w:sz w:val="24"/>
                <w:szCs w:val="24"/>
              </w:rPr>
            </w:pP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70"/>
              <w:gridCol w:w="709"/>
              <w:gridCol w:w="1134"/>
              <w:gridCol w:w="992"/>
              <w:gridCol w:w="993"/>
              <w:gridCol w:w="5043"/>
            </w:tblGrid>
            <w:tr w14:paraId="4F63E3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70" w:type="dxa"/>
                  <w:vAlign w:val="center"/>
                </w:tcPr>
                <w:p w14:paraId="5B2D81CB">
                  <w:pPr>
                    <w:spacing w:after="0" w:line="240" w:lineRule="auto"/>
                    <w:jc w:val="both"/>
                    <w:rPr>
                      <w:rFonts w:eastAsia="宋体" w:cs="Times New Roman"/>
                      <w:kern w:val="0"/>
                      <w:sz w:val="21"/>
                      <w:szCs w:val="21"/>
                    </w:rPr>
                  </w:pPr>
                  <w:r>
                    <w:rPr>
                      <w:rFonts w:eastAsia="宋体" w:cs="Times New Roman"/>
                      <w:kern w:val="0"/>
                      <w:sz w:val="21"/>
                      <w:szCs w:val="21"/>
                    </w:rPr>
                    <w:t>序号</w:t>
                  </w:r>
                </w:p>
              </w:tc>
              <w:tc>
                <w:tcPr>
                  <w:tcW w:w="709" w:type="dxa"/>
                  <w:vAlign w:val="center"/>
                </w:tcPr>
                <w:p w14:paraId="7BD92428">
                  <w:pPr>
                    <w:spacing w:after="0" w:line="240" w:lineRule="auto"/>
                    <w:jc w:val="both"/>
                    <w:rPr>
                      <w:rFonts w:eastAsia="宋体" w:cs="Times New Roman"/>
                      <w:kern w:val="0"/>
                      <w:sz w:val="21"/>
                      <w:szCs w:val="21"/>
                    </w:rPr>
                  </w:pPr>
                  <w:r>
                    <w:rPr>
                      <w:rFonts w:eastAsia="宋体" w:cs="Times New Roman"/>
                      <w:kern w:val="0"/>
                      <w:sz w:val="21"/>
                      <w:szCs w:val="21"/>
                    </w:rPr>
                    <w:t>合作方式</w:t>
                  </w:r>
                </w:p>
              </w:tc>
              <w:tc>
                <w:tcPr>
                  <w:tcW w:w="1134" w:type="dxa"/>
                  <w:vAlign w:val="center"/>
                </w:tcPr>
                <w:p w14:paraId="544D0373">
                  <w:pPr>
                    <w:spacing w:after="0" w:line="240" w:lineRule="auto"/>
                    <w:jc w:val="both"/>
                    <w:rPr>
                      <w:rFonts w:eastAsia="宋体" w:cs="Times New Roman"/>
                      <w:kern w:val="0"/>
                      <w:sz w:val="21"/>
                      <w:szCs w:val="21"/>
                    </w:rPr>
                  </w:pPr>
                  <w:r>
                    <w:rPr>
                      <w:rFonts w:eastAsia="宋体" w:cs="Times New Roman"/>
                      <w:kern w:val="0"/>
                      <w:sz w:val="21"/>
                      <w:szCs w:val="21"/>
                    </w:rPr>
                    <w:t>合作者/项目排名</w:t>
                  </w:r>
                </w:p>
              </w:tc>
              <w:tc>
                <w:tcPr>
                  <w:tcW w:w="992" w:type="dxa"/>
                  <w:vAlign w:val="center"/>
                </w:tcPr>
                <w:p w14:paraId="298A226E">
                  <w:pPr>
                    <w:spacing w:after="0" w:line="240" w:lineRule="auto"/>
                    <w:jc w:val="both"/>
                    <w:rPr>
                      <w:rFonts w:eastAsia="宋体" w:cs="Times New Roman"/>
                      <w:kern w:val="0"/>
                      <w:sz w:val="21"/>
                      <w:szCs w:val="21"/>
                    </w:rPr>
                  </w:pPr>
                  <w:r>
                    <w:rPr>
                      <w:rFonts w:eastAsia="宋体" w:cs="Times New Roman"/>
                      <w:kern w:val="0"/>
                      <w:sz w:val="21"/>
                      <w:szCs w:val="21"/>
                    </w:rPr>
                    <w:t>合作起始时间</w:t>
                  </w:r>
                </w:p>
              </w:tc>
              <w:tc>
                <w:tcPr>
                  <w:tcW w:w="993" w:type="dxa"/>
                  <w:vAlign w:val="center"/>
                </w:tcPr>
                <w:p w14:paraId="33578CA9">
                  <w:pPr>
                    <w:spacing w:after="0" w:line="240" w:lineRule="auto"/>
                    <w:jc w:val="both"/>
                    <w:rPr>
                      <w:rFonts w:eastAsia="宋体" w:cs="Times New Roman"/>
                      <w:kern w:val="0"/>
                      <w:sz w:val="21"/>
                      <w:szCs w:val="21"/>
                    </w:rPr>
                  </w:pPr>
                  <w:r>
                    <w:rPr>
                      <w:rFonts w:eastAsia="宋体" w:cs="Times New Roman"/>
                      <w:kern w:val="0"/>
                      <w:sz w:val="21"/>
                      <w:szCs w:val="21"/>
                    </w:rPr>
                    <w:t>合作完成时间</w:t>
                  </w:r>
                </w:p>
              </w:tc>
              <w:tc>
                <w:tcPr>
                  <w:tcW w:w="5043" w:type="dxa"/>
                  <w:vAlign w:val="center"/>
                </w:tcPr>
                <w:p w14:paraId="40BBF9CC">
                  <w:pPr>
                    <w:widowControl w:val="0"/>
                    <w:adjustRightInd w:val="0"/>
                    <w:spacing w:after="0" w:line="240" w:lineRule="auto"/>
                    <w:jc w:val="both"/>
                    <w:outlineLvl w:val="1"/>
                    <w:rPr>
                      <w:rFonts w:eastAsia="宋体" w:cs="Times New Roman"/>
                      <w:sz w:val="21"/>
                      <w:szCs w:val="21"/>
                    </w:rPr>
                  </w:pPr>
                  <w:r>
                    <w:rPr>
                      <w:rFonts w:eastAsia="宋体" w:cs="Times New Roman"/>
                      <w:kern w:val="0"/>
                      <w:sz w:val="21"/>
                      <w:szCs w:val="21"/>
                    </w:rPr>
                    <w:t>合作成果</w:t>
                  </w:r>
                </w:p>
              </w:tc>
            </w:tr>
            <w:tr w14:paraId="3AD569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95" w:hRule="atLeast"/>
                <w:jc w:val="center"/>
              </w:trPr>
              <w:tc>
                <w:tcPr>
                  <w:tcW w:w="670" w:type="dxa"/>
                  <w:vAlign w:val="center"/>
                </w:tcPr>
                <w:p w14:paraId="461BC001">
                  <w:pPr>
                    <w:widowControl w:val="0"/>
                    <w:spacing w:after="0" w:line="240" w:lineRule="auto"/>
                    <w:jc w:val="both"/>
                    <w:rPr>
                      <w:rFonts w:eastAsia="宋体" w:cs="Times New Roman"/>
                      <w:sz w:val="21"/>
                      <w:szCs w:val="21"/>
                    </w:rPr>
                  </w:pPr>
                  <w:r>
                    <w:rPr>
                      <w:rFonts w:eastAsia="宋体" w:cs="Times New Roman"/>
                      <w:sz w:val="21"/>
                      <w:szCs w:val="21"/>
                    </w:rPr>
                    <w:t>1</w:t>
                  </w:r>
                </w:p>
              </w:tc>
              <w:tc>
                <w:tcPr>
                  <w:tcW w:w="709" w:type="dxa"/>
                  <w:vAlign w:val="center"/>
                </w:tcPr>
                <w:p w14:paraId="31A1AEAC">
                  <w:pPr>
                    <w:widowControl w:val="0"/>
                    <w:spacing w:after="0" w:line="240" w:lineRule="auto"/>
                    <w:jc w:val="both"/>
                    <w:rPr>
                      <w:rFonts w:eastAsia="宋体" w:cs="Times New Roman"/>
                      <w:sz w:val="21"/>
                      <w:szCs w:val="21"/>
                    </w:rPr>
                  </w:pPr>
                  <w:r>
                    <w:rPr>
                      <w:rFonts w:hint="eastAsia" w:eastAsia="宋体" w:cs="Times New Roman"/>
                      <w:sz w:val="21"/>
                      <w:szCs w:val="21"/>
                    </w:rPr>
                    <w:t>论文合著</w:t>
                  </w:r>
                </w:p>
              </w:tc>
              <w:tc>
                <w:tcPr>
                  <w:tcW w:w="1134" w:type="dxa"/>
                  <w:vAlign w:val="center"/>
                </w:tcPr>
                <w:p w14:paraId="22B6BAD4">
                  <w:pPr>
                    <w:widowControl w:val="0"/>
                    <w:spacing w:after="0" w:line="240" w:lineRule="auto"/>
                    <w:jc w:val="both"/>
                    <w:rPr>
                      <w:rFonts w:eastAsia="宋体" w:cs="Times New Roman"/>
                      <w:sz w:val="21"/>
                      <w:szCs w:val="21"/>
                    </w:rPr>
                  </w:pPr>
                  <w:r>
                    <w:rPr>
                      <w:rFonts w:hint="eastAsia" w:eastAsia="宋体" w:cs="Times New Roman"/>
                      <w:sz w:val="21"/>
                      <w:szCs w:val="21"/>
                    </w:rPr>
                    <w:t>孙秉珍1、楚晓丽2、赵羲轩4</w:t>
                  </w:r>
                </w:p>
              </w:tc>
              <w:tc>
                <w:tcPr>
                  <w:tcW w:w="992" w:type="dxa"/>
                  <w:vAlign w:val="center"/>
                </w:tcPr>
                <w:p w14:paraId="572A0F49">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018</w:t>
                  </w:r>
                  <w:r>
                    <w:rPr>
                      <w:rFonts w:hint="eastAsia" w:eastAsia="宋体" w:cs="Times New Roman"/>
                      <w:sz w:val="21"/>
                      <w:szCs w:val="21"/>
                    </w:rPr>
                    <w:t>年9月1日</w:t>
                  </w:r>
                </w:p>
              </w:tc>
              <w:tc>
                <w:tcPr>
                  <w:tcW w:w="993" w:type="dxa"/>
                  <w:vAlign w:val="center"/>
                </w:tcPr>
                <w:p w14:paraId="03994D2C">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024</w:t>
                  </w:r>
                  <w:r>
                    <w:rPr>
                      <w:rFonts w:hint="eastAsia" w:eastAsia="宋体" w:cs="Times New Roman"/>
                      <w:sz w:val="21"/>
                      <w:szCs w:val="21"/>
                    </w:rPr>
                    <w:t>年1</w:t>
                  </w:r>
                  <w:r>
                    <w:rPr>
                      <w:rFonts w:eastAsia="宋体" w:cs="Times New Roman"/>
                      <w:sz w:val="21"/>
                      <w:szCs w:val="21"/>
                    </w:rPr>
                    <w:t>2</w:t>
                  </w:r>
                  <w:r>
                    <w:rPr>
                      <w:rFonts w:hint="eastAsia" w:eastAsia="宋体" w:cs="Times New Roman"/>
                      <w:sz w:val="21"/>
                      <w:szCs w:val="21"/>
                    </w:rPr>
                    <w:t>月4日</w:t>
                  </w:r>
                </w:p>
              </w:tc>
              <w:tc>
                <w:tcPr>
                  <w:tcW w:w="5043" w:type="dxa"/>
                  <w:vAlign w:val="center"/>
                </w:tcPr>
                <w:p w14:paraId="2B3248CF">
                  <w:pPr>
                    <w:widowControl w:val="0"/>
                    <w:spacing w:after="0" w:line="240" w:lineRule="auto"/>
                    <w:jc w:val="both"/>
                    <w:rPr>
                      <w:rFonts w:eastAsia="宋体" w:cs="Times New Roman"/>
                      <w:sz w:val="21"/>
                      <w:szCs w:val="21"/>
                    </w:rPr>
                  </w:pPr>
                  <w:r>
                    <w:rPr>
                      <w:rFonts w:eastAsia="宋体" w:cs="Times New Roman"/>
                      <w:sz w:val="21"/>
                      <w:szCs w:val="21"/>
                    </w:rPr>
                    <w:t>A decision-making approach under uncertainty based on ensemble learning model with multimodal data and its application in medical diagnosis</w:t>
                  </w:r>
                </w:p>
              </w:tc>
            </w:tr>
            <w:tr w14:paraId="2CEF8B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70" w:type="dxa"/>
                  <w:vAlign w:val="center"/>
                </w:tcPr>
                <w:p w14:paraId="2830EDAB">
                  <w:pPr>
                    <w:widowControl w:val="0"/>
                    <w:spacing w:after="0" w:line="240" w:lineRule="auto"/>
                    <w:jc w:val="both"/>
                    <w:rPr>
                      <w:rFonts w:eastAsia="宋体" w:cs="Times New Roman"/>
                      <w:sz w:val="21"/>
                      <w:szCs w:val="21"/>
                    </w:rPr>
                  </w:pPr>
                  <w:r>
                    <w:rPr>
                      <w:rFonts w:eastAsia="宋体" w:cs="Times New Roman"/>
                      <w:sz w:val="21"/>
                      <w:szCs w:val="21"/>
                    </w:rPr>
                    <w:t>2</w:t>
                  </w:r>
                </w:p>
              </w:tc>
              <w:tc>
                <w:tcPr>
                  <w:tcW w:w="709" w:type="dxa"/>
                  <w:vAlign w:val="center"/>
                </w:tcPr>
                <w:p w14:paraId="781A786F">
                  <w:pPr>
                    <w:widowControl w:val="0"/>
                    <w:spacing w:after="0" w:line="240" w:lineRule="auto"/>
                    <w:jc w:val="both"/>
                    <w:rPr>
                      <w:rFonts w:eastAsia="宋体" w:cs="Times New Roman"/>
                      <w:sz w:val="21"/>
                      <w:szCs w:val="21"/>
                    </w:rPr>
                  </w:pPr>
                  <w:r>
                    <w:rPr>
                      <w:rFonts w:hint="eastAsia" w:eastAsia="宋体" w:cs="Times New Roman"/>
                      <w:sz w:val="21"/>
                      <w:szCs w:val="21"/>
                    </w:rPr>
                    <w:t>论文合著</w:t>
                  </w:r>
                </w:p>
              </w:tc>
              <w:tc>
                <w:tcPr>
                  <w:tcW w:w="1134" w:type="dxa"/>
                  <w:vAlign w:val="center"/>
                </w:tcPr>
                <w:p w14:paraId="2A8B26D2">
                  <w:pPr>
                    <w:widowControl w:val="0"/>
                    <w:spacing w:after="0" w:line="240" w:lineRule="auto"/>
                    <w:jc w:val="both"/>
                    <w:rPr>
                      <w:rFonts w:eastAsia="宋体" w:cs="Times New Roman"/>
                      <w:sz w:val="21"/>
                      <w:szCs w:val="21"/>
                    </w:rPr>
                  </w:pPr>
                  <w:r>
                    <w:rPr>
                      <w:rFonts w:hint="eastAsia" w:eastAsia="宋体" w:cs="Times New Roman"/>
                      <w:sz w:val="21"/>
                      <w:szCs w:val="21"/>
                    </w:rPr>
                    <w:t>孙秉珍1、楚晓丽2、叶进3</w:t>
                  </w:r>
                </w:p>
              </w:tc>
              <w:tc>
                <w:tcPr>
                  <w:tcW w:w="992" w:type="dxa"/>
                  <w:vAlign w:val="center"/>
                </w:tcPr>
                <w:p w14:paraId="375D20BA">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018</w:t>
                  </w:r>
                  <w:r>
                    <w:rPr>
                      <w:rFonts w:hint="eastAsia" w:eastAsia="宋体" w:cs="Times New Roman"/>
                      <w:sz w:val="21"/>
                      <w:szCs w:val="21"/>
                    </w:rPr>
                    <w:t>年9月1日</w:t>
                  </w:r>
                </w:p>
              </w:tc>
              <w:tc>
                <w:tcPr>
                  <w:tcW w:w="993" w:type="dxa"/>
                  <w:vAlign w:val="center"/>
                </w:tcPr>
                <w:p w14:paraId="0ABD62A1">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023</w:t>
                  </w:r>
                  <w:r>
                    <w:rPr>
                      <w:rFonts w:hint="eastAsia" w:eastAsia="宋体" w:cs="Times New Roman"/>
                      <w:sz w:val="21"/>
                      <w:szCs w:val="21"/>
                    </w:rPr>
                    <w:t>年</w:t>
                  </w:r>
                  <w:r>
                    <w:rPr>
                      <w:rFonts w:eastAsia="宋体" w:cs="Times New Roman"/>
                      <w:sz w:val="21"/>
                      <w:szCs w:val="21"/>
                    </w:rPr>
                    <w:t>9</w:t>
                  </w:r>
                  <w:r>
                    <w:rPr>
                      <w:rFonts w:hint="eastAsia" w:eastAsia="宋体" w:cs="Times New Roman"/>
                      <w:sz w:val="21"/>
                      <w:szCs w:val="21"/>
                    </w:rPr>
                    <w:t>月</w:t>
                  </w:r>
                  <w:r>
                    <w:rPr>
                      <w:rFonts w:eastAsia="宋体" w:cs="Times New Roman"/>
                      <w:sz w:val="21"/>
                      <w:szCs w:val="21"/>
                    </w:rPr>
                    <w:t>9</w:t>
                  </w:r>
                  <w:r>
                    <w:rPr>
                      <w:rFonts w:hint="eastAsia" w:eastAsia="宋体" w:cs="Times New Roman"/>
                      <w:sz w:val="21"/>
                      <w:szCs w:val="21"/>
                    </w:rPr>
                    <w:t>日</w:t>
                  </w:r>
                </w:p>
              </w:tc>
              <w:tc>
                <w:tcPr>
                  <w:tcW w:w="5043" w:type="dxa"/>
                  <w:vAlign w:val="center"/>
                </w:tcPr>
                <w:p w14:paraId="1E7D72E9">
                  <w:pPr>
                    <w:widowControl w:val="0"/>
                    <w:spacing w:after="0" w:line="240" w:lineRule="auto"/>
                    <w:jc w:val="both"/>
                    <w:rPr>
                      <w:rFonts w:eastAsia="宋体" w:cs="Times New Roman"/>
                      <w:sz w:val="21"/>
                      <w:szCs w:val="21"/>
                    </w:rPr>
                  </w:pPr>
                  <w:r>
                    <w:rPr>
                      <w:rFonts w:eastAsia="宋体" w:cs="Times New Roman"/>
                      <w:sz w:val="21"/>
                      <w:szCs w:val="21"/>
                    </w:rPr>
                    <w:t>A preference-approval structures-based non-additive three-way group consensus decision-making approach for medical diagnosis</w:t>
                  </w:r>
                </w:p>
              </w:tc>
            </w:tr>
            <w:tr w14:paraId="2CC20F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70" w:type="dxa"/>
                  <w:vAlign w:val="center"/>
                </w:tcPr>
                <w:p w14:paraId="7CCB06CE">
                  <w:pPr>
                    <w:widowControl w:val="0"/>
                    <w:spacing w:after="0" w:line="240" w:lineRule="auto"/>
                    <w:jc w:val="both"/>
                    <w:rPr>
                      <w:rFonts w:eastAsia="宋体" w:cs="Times New Roman"/>
                      <w:sz w:val="21"/>
                      <w:szCs w:val="21"/>
                    </w:rPr>
                  </w:pPr>
                  <w:r>
                    <w:rPr>
                      <w:rFonts w:eastAsia="宋体" w:cs="Times New Roman"/>
                      <w:sz w:val="21"/>
                      <w:szCs w:val="21"/>
                    </w:rPr>
                    <w:t>3</w:t>
                  </w:r>
                </w:p>
              </w:tc>
              <w:tc>
                <w:tcPr>
                  <w:tcW w:w="709" w:type="dxa"/>
                  <w:vAlign w:val="center"/>
                </w:tcPr>
                <w:p w14:paraId="13D0FCB5">
                  <w:pPr>
                    <w:widowControl w:val="0"/>
                    <w:spacing w:after="0" w:line="240" w:lineRule="auto"/>
                    <w:jc w:val="both"/>
                    <w:rPr>
                      <w:rFonts w:eastAsia="宋体" w:cs="Times New Roman"/>
                      <w:sz w:val="21"/>
                      <w:szCs w:val="21"/>
                    </w:rPr>
                  </w:pPr>
                  <w:r>
                    <w:rPr>
                      <w:rFonts w:hint="eastAsia" w:eastAsia="宋体" w:cs="Times New Roman"/>
                      <w:sz w:val="21"/>
                      <w:szCs w:val="21"/>
                    </w:rPr>
                    <w:t>论文合著</w:t>
                  </w:r>
                </w:p>
              </w:tc>
              <w:tc>
                <w:tcPr>
                  <w:tcW w:w="1134" w:type="dxa"/>
                  <w:vAlign w:val="center"/>
                </w:tcPr>
                <w:p w14:paraId="537B6692">
                  <w:pPr>
                    <w:widowControl w:val="0"/>
                    <w:spacing w:after="0" w:line="240" w:lineRule="auto"/>
                    <w:jc w:val="both"/>
                    <w:rPr>
                      <w:rFonts w:eastAsia="宋体" w:cs="Times New Roman"/>
                      <w:sz w:val="21"/>
                      <w:szCs w:val="21"/>
                    </w:rPr>
                  </w:pPr>
                  <w:r>
                    <w:rPr>
                      <w:rFonts w:hint="eastAsia" w:eastAsia="宋体" w:cs="Times New Roman"/>
                      <w:sz w:val="21"/>
                      <w:szCs w:val="21"/>
                    </w:rPr>
                    <w:t>孙秉珍1、楚晓丽2</w:t>
                  </w:r>
                </w:p>
              </w:tc>
              <w:tc>
                <w:tcPr>
                  <w:tcW w:w="992" w:type="dxa"/>
                  <w:vAlign w:val="center"/>
                </w:tcPr>
                <w:p w14:paraId="401ADF6F">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018</w:t>
                  </w:r>
                  <w:r>
                    <w:rPr>
                      <w:rFonts w:hint="eastAsia" w:eastAsia="宋体" w:cs="Times New Roman"/>
                      <w:sz w:val="21"/>
                      <w:szCs w:val="21"/>
                    </w:rPr>
                    <w:t>年9月1日</w:t>
                  </w:r>
                </w:p>
              </w:tc>
              <w:tc>
                <w:tcPr>
                  <w:tcW w:w="993" w:type="dxa"/>
                  <w:vAlign w:val="center"/>
                </w:tcPr>
                <w:p w14:paraId="61FA6A7B">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020</w:t>
                  </w:r>
                  <w:r>
                    <w:rPr>
                      <w:rFonts w:hint="eastAsia" w:eastAsia="宋体" w:cs="Times New Roman"/>
                      <w:sz w:val="21"/>
                      <w:szCs w:val="21"/>
                    </w:rPr>
                    <w:t>年</w:t>
                  </w:r>
                  <w:r>
                    <w:rPr>
                      <w:rFonts w:eastAsia="宋体" w:cs="Times New Roman"/>
                      <w:sz w:val="21"/>
                      <w:szCs w:val="21"/>
                    </w:rPr>
                    <w:t>5</w:t>
                  </w:r>
                  <w:r>
                    <w:rPr>
                      <w:rFonts w:hint="eastAsia" w:eastAsia="宋体" w:cs="Times New Roman"/>
                      <w:sz w:val="21"/>
                      <w:szCs w:val="21"/>
                    </w:rPr>
                    <w:t>月</w:t>
                  </w:r>
                  <w:r>
                    <w:rPr>
                      <w:rFonts w:eastAsia="宋体" w:cs="Times New Roman"/>
                      <w:sz w:val="21"/>
                      <w:szCs w:val="21"/>
                    </w:rPr>
                    <w:t>15</w:t>
                  </w:r>
                  <w:r>
                    <w:rPr>
                      <w:rFonts w:hint="eastAsia" w:eastAsia="宋体" w:cs="Times New Roman"/>
                      <w:sz w:val="21"/>
                      <w:szCs w:val="21"/>
                    </w:rPr>
                    <w:t>日</w:t>
                  </w:r>
                </w:p>
              </w:tc>
              <w:tc>
                <w:tcPr>
                  <w:tcW w:w="5043" w:type="dxa"/>
                  <w:vAlign w:val="center"/>
                </w:tcPr>
                <w:p w14:paraId="5ED3E39F">
                  <w:pPr>
                    <w:widowControl w:val="0"/>
                    <w:spacing w:after="0" w:line="240" w:lineRule="auto"/>
                    <w:jc w:val="both"/>
                    <w:rPr>
                      <w:rFonts w:eastAsia="宋体" w:cs="Times New Roman"/>
                      <w:sz w:val="21"/>
                      <w:szCs w:val="21"/>
                    </w:rPr>
                  </w:pPr>
                  <w:r>
                    <w:rPr>
                      <w:rFonts w:eastAsia="宋体" w:cs="Times New Roman"/>
                      <w:sz w:val="21"/>
                      <w:szCs w:val="21"/>
                    </w:rPr>
                    <w:t>Neighborhood rough set-based three-way clustering considering attribute correlations: an approach to classification of potential gout groups</w:t>
                  </w:r>
                </w:p>
              </w:tc>
            </w:tr>
            <w:tr w14:paraId="3A6276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70" w:type="dxa"/>
                  <w:vAlign w:val="center"/>
                </w:tcPr>
                <w:p w14:paraId="2BD7D426">
                  <w:pPr>
                    <w:widowControl w:val="0"/>
                    <w:spacing w:after="0" w:line="240" w:lineRule="auto"/>
                    <w:jc w:val="both"/>
                    <w:rPr>
                      <w:rFonts w:eastAsia="宋体" w:cs="Times New Roman"/>
                      <w:sz w:val="21"/>
                      <w:szCs w:val="21"/>
                    </w:rPr>
                  </w:pPr>
                  <w:r>
                    <w:rPr>
                      <w:rFonts w:eastAsia="宋体" w:cs="Times New Roman"/>
                      <w:sz w:val="21"/>
                      <w:szCs w:val="21"/>
                    </w:rPr>
                    <w:t>4</w:t>
                  </w:r>
                </w:p>
              </w:tc>
              <w:tc>
                <w:tcPr>
                  <w:tcW w:w="709" w:type="dxa"/>
                  <w:vAlign w:val="center"/>
                </w:tcPr>
                <w:p w14:paraId="11F27BB7">
                  <w:pPr>
                    <w:widowControl w:val="0"/>
                    <w:spacing w:after="0" w:line="240" w:lineRule="auto"/>
                    <w:jc w:val="both"/>
                    <w:rPr>
                      <w:rFonts w:eastAsia="宋体" w:cs="Times New Roman"/>
                      <w:sz w:val="21"/>
                      <w:szCs w:val="21"/>
                    </w:rPr>
                  </w:pPr>
                  <w:r>
                    <w:rPr>
                      <w:rFonts w:hint="eastAsia" w:eastAsia="宋体" w:cs="Times New Roman"/>
                      <w:sz w:val="21"/>
                      <w:szCs w:val="21"/>
                    </w:rPr>
                    <w:t>论文合著</w:t>
                  </w:r>
                </w:p>
              </w:tc>
              <w:tc>
                <w:tcPr>
                  <w:tcW w:w="1134" w:type="dxa"/>
                  <w:vAlign w:val="center"/>
                </w:tcPr>
                <w:p w14:paraId="1E80E104">
                  <w:pPr>
                    <w:widowControl w:val="0"/>
                    <w:spacing w:after="0" w:line="240" w:lineRule="auto"/>
                    <w:jc w:val="both"/>
                    <w:rPr>
                      <w:rFonts w:eastAsia="宋体" w:cs="Times New Roman"/>
                      <w:sz w:val="21"/>
                      <w:szCs w:val="21"/>
                    </w:rPr>
                  </w:pPr>
                  <w:r>
                    <w:rPr>
                      <w:rFonts w:hint="eastAsia" w:eastAsia="宋体" w:cs="Times New Roman"/>
                      <w:sz w:val="21"/>
                      <w:szCs w:val="21"/>
                    </w:rPr>
                    <w:t>孙秉珍1、陈香堂5</w:t>
                  </w:r>
                </w:p>
              </w:tc>
              <w:tc>
                <w:tcPr>
                  <w:tcW w:w="992" w:type="dxa"/>
                  <w:vAlign w:val="center"/>
                </w:tcPr>
                <w:p w14:paraId="51451F82">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016</w:t>
                  </w:r>
                  <w:r>
                    <w:rPr>
                      <w:rFonts w:hint="eastAsia" w:eastAsia="宋体" w:cs="Times New Roman"/>
                      <w:sz w:val="21"/>
                      <w:szCs w:val="21"/>
                    </w:rPr>
                    <w:t>年1月1日</w:t>
                  </w:r>
                </w:p>
              </w:tc>
              <w:tc>
                <w:tcPr>
                  <w:tcW w:w="993" w:type="dxa"/>
                  <w:vAlign w:val="center"/>
                </w:tcPr>
                <w:p w14:paraId="63D69BE3">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018</w:t>
                  </w:r>
                  <w:r>
                    <w:rPr>
                      <w:rFonts w:hint="eastAsia" w:eastAsia="宋体" w:cs="Times New Roman"/>
                      <w:sz w:val="21"/>
                      <w:szCs w:val="21"/>
                    </w:rPr>
                    <w:t>年</w:t>
                  </w:r>
                  <w:r>
                    <w:rPr>
                      <w:rFonts w:eastAsia="宋体" w:cs="Times New Roman"/>
                      <w:sz w:val="21"/>
                      <w:szCs w:val="21"/>
                    </w:rPr>
                    <w:t>5</w:t>
                  </w:r>
                  <w:r>
                    <w:rPr>
                      <w:rFonts w:hint="eastAsia" w:eastAsia="宋体" w:cs="Times New Roman"/>
                      <w:sz w:val="21"/>
                      <w:szCs w:val="21"/>
                    </w:rPr>
                    <w:t>月</w:t>
                  </w:r>
                  <w:r>
                    <w:rPr>
                      <w:rFonts w:eastAsia="宋体" w:cs="Times New Roman"/>
                      <w:sz w:val="21"/>
                      <w:szCs w:val="21"/>
                    </w:rPr>
                    <w:t>24</w:t>
                  </w:r>
                  <w:r>
                    <w:rPr>
                      <w:rFonts w:hint="eastAsia" w:eastAsia="宋体" w:cs="Times New Roman"/>
                      <w:sz w:val="21"/>
                      <w:szCs w:val="21"/>
                    </w:rPr>
                    <w:t>日</w:t>
                  </w:r>
                </w:p>
              </w:tc>
              <w:tc>
                <w:tcPr>
                  <w:tcW w:w="5043" w:type="dxa"/>
                  <w:vAlign w:val="center"/>
                </w:tcPr>
                <w:p w14:paraId="3B272F41">
                  <w:pPr>
                    <w:widowControl w:val="0"/>
                    <w:spacing w:after="0" w:line="240" w:lineRule="auto"/>
                    <w:jc w:val="both"/>
                    <w:rPr>
                      <w:rFonts w:eastAsia="宋体" w:cs="Times New Roman"/>
                      <w:sz w:val="21"/>
                      <w:szCs w:val="21"/>
                    </w:rPr>
                  </w:pPr>
                  <w:r>
                    <w:rPr>
                      <w:rFonts w:eastAsia="宋体" w:cs="Times New Roman"/>
                      <w:sz w:val="21"/>
                      <w:szCs w:val="21"/>
                    </w:rPr>
                    <w:t>Heterogeneous multigranulation fuzzy rough set-based multiple attribute group decision making with heterogeneous preference information</w:t>
                  </w:r>
                </w:p>
              </w:tc>
            </w:tr>
            <w:tr w14:paraId="4246EE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70" w:type="dxa"/>
                  <w:vAlign w:val="center"/>
                </w:tcPr>
                <w:p w14:paraId="6E603365">
                  <w:pPr>
                    <w:widowControl w:val="0"/>
                    <w:spacing w:after="0" w:line="240" w:lineRule="auto"/>
                    <w:jc w:val="both"/>
                    <w:rPr>
                      <w:rFonts w:eastAsia="宋体" w:cs="Times New Roman"/>
                      <w:sz w:val="21"/>
                      <w:szCs w:val="21"/>
                    </w:rPr>
                  </w:pPr>
                  <w:r>
                    <w:rPr>
                      <w:rFonts w:eastAsia="宋体" w:cs="Times New Roman"/>
                      <w:sz w:val="21"/>
                      <w:szCs w:val="21"/>
                    </w:rPr>
                    <w:t>5</w:t>
                  </w:r>
                </w:p>
              </w:tc>
              <w:tc>
                <w:tcPr>
                  <w:tcW w:w="709" w:type="dxa"/>
                  <w:vAlign w:val="center"/>
                </w:tcPr>
                <w:p w14:paraId="7BA08CF8">
                  <w:pPr>
                    <w:widowControl w:val="0"/>
                    <w:spacing w:after="0" w:line="240" w:lineRule="auto"/>
                    <w:jc w:val="both"/>
                    <w:rPr>
                      <w:rFonts w:eastAsia="宋体" w:cs="Times New Roman"/>
                      <w:sz w:val="21"/>
                      <w:szCs w:val="21"/>
                    </w:rPr>
                  </w:pPr>
                  <w:r>
                    <w:rPr>
                      <w:rFonts w:hint="eastAsia" w:eastAsia="宋体" w:cs="Times New Roman"/>
                      <w:sz w:val="21"/>
                      <w:szCs w:val="21"/>
                    </w:rPr>
                    <w:t>论文合著</w:t>
                  </w:r>
                </w:p>
              </w:tc>
              <w:tc>
                <w:tcPr>
                  <w:tcW w:w="1134" w:type="dxa"/>
                  <w:vAlign w:val="center"/>
                </w:tcPr>
                <w:p w14:paraId="594CF9DB">
                  <w:pPr>
                    <w:widowControl w:val="0"/>
                    <w:spacing w:after="0" w:line="240" w:lineRule="auto"/>
                    <w:jc w:val="both"/>
                    <w:rPr>
                      <w:rFonts w:eastAsia="宋体" w:cs="Times New Roman"/>
                      <w:sz w:val="21"/>
                      <w:szCs w:val="21"/>
                    </w:rPr>
                  </w:pPr>
                  <w:r>
                    <w:rPr>
                      <w:rFonts w:hint="eastAsia" w:eastAsia="宋体" w:cs="Times New Roman"/>
                      <w:sz w:val="21"/>
                      <w:szCs w:val="21"/>
                    </w:rPr>
                    <w:t>孙秉珍1、王婷6</w:t>
                  </w:r>
                </w:p>
              </w:tc>
              <w:tc>
                <w:tcPr>
                  <w:tcW w:w="992" w:type="dxa"/>
                  <w:vAlign w:val="center"/>
                </w:tcPr>
                <w:p w14:paraId="791A38D2">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019</w:t>
                  </w:r>
                  <w:r>
                    <w:rPr>
                      <w:rFonts w:hint="eastAsia" w:eastAsia="宋体" w:cs="Times New Roman"/>
                      <w:sz w:val="21"/>
                      <w:szCs w:val="21"/>
                    </w:rPr>
                    <w:t>年8月2</w:t>
                  </w:r>
                  <w:r>
                    <w:rPr>
                      <w:rFonts w:eastAsia="宋体" w:cs="Times New Roman"/>
                      <w:sz w:val="21"/>
                      <w:szCs w:val="21"/>
                    </w:rPr>
                    <w:t>6</w:t>
                  </w:r>
                  <w:r>
                    <w:rPr>
                      <w:rFonts w:hint="eastAsia" w:eastAsia="宋体" w:cs="Times New Roman"/>
                      <w:sz w:val="21"/>
                      <w:szCs w:val="21"/>
                    </w:rPr>
                    <w:t>日</w:t>
                  </w:r>
                </w:p>
              </w:tc>
              <w:tc>
                <w:tcPr>
                  <w:tcW w:w="993" w:type="dxa"/>
                  <w:vAlign w:val="center"/>
                </w:tcPr>
                <w:p w14:paraId="7E02D090">
                  <w:pPr>
                    <w:widowControl w:val="0"/>
                    <w:spacing w:after="0" w:line="240" w:lineRule="auto"/>
                    <w:jc w:val="both"/>
                    <w:rPr>
                      <w:rFonts w:eastAsia="宋体" w:cs="Times New Roman"/>
                      <w:sz w:val="21"/>
                      <w:szCs w:val="21"/>
                    </w:rPr>
                  </w:pPr>
                  <w:r>
                    <w:rPr>
                      <w:rFonts w:hint="eastAsia" w:eastAsia="宋体" w:cs="Times New Roman"/>
                      <w:sz w:val="21"/>
                      <w:szCs w:val="21"/>
                    </w:rPr>
                    <w:t>2</w:t>
                  </w:r>
                  <w:r>
                    <w:rPr>
                      <w:rFonts w:eastAsia="宋体" w:cs="Times New Roman"/>
                      <w:sz w:val="21"/>
                      <w:szCs w:val="21"/>
                    </w:rPr>
                    <w:t>021</w:t>
                  </w:r>
                  <w:r>
                    <w:rPr>
                      <w:rFonts w:hint="eastAsia" w:eastAsia="宋体" w:cs="Times New Roman"/>
                      <w:sz w:val="21"/>
                      <w:szCs w:val="21"/>
                    </w:rPr>
                    <w:t>年</w:t>
                  </w:r>
                  <w:r>
                    <w:rPr>
                      <w:rFonts w:eastAsia="宋体" w:cs="Times New Roman"/>
                      <w:sz w:val="21"/>
                      <w:szCs w:val="21"/>
                    </w:rPr>
                    <w:t>6</w:t>
                  </w:r>
                  <w:r>
                    <w:rPr>
                      <w:rFonts w:hint="eastAsia" w:eastAsia="宋体" w:cs="Times New Roman"/>
                      <w:sz w:val="21"/>
                      <w:szCs w:val="21"/>
                    </w:rPr>
                    <w:t>月</w:t>
                  </w:r>
                  <w:r>
                    <w:rPr>
                      <w:rFonts w:eastAsia="宋体" w:cs="Times New Roman"/>
                      <w:sz w:val="21"/>
                      <w:szCs w:val="21"/>
                    </w:rPr>
                    <w:t>22</w:t>
                  </w:r>
                  <w:r>
                    <w:rPr>
                      <w:rFonts w:hint="eastAsia" w:eastAsia="宋体" w:cs="Times New Roman"/>
                      <w:sz w:val="21"/>
                      <w:szCs w:val="21"/>
                    </w:rPr>
                    <w:t>日</w:t>
                  </w:r>
                </w:p>
              </w:tc>
              <w:tc>
                <w:tcPr>
                  <w:tcW w:w="5043" w:type="dxa"/>
                  <w:vAlign w:val="center"/>
                </w:tcPr>
                <w:p w14:paraId="4D082351">
                  <w:pPr>
                    <w:widowControl w:val="0"/>
                    <w:spacing w:after="0" w:line="240" w:lineRule="auto"/>
                    <w:jc w:val="both"/>
                    <w:rPr>
                      <w:rFonts w:eastAsia="宋体" w:cs="Times New Roman"/>
                      <w:sz w:val="21"/>
                      <w:szCs w:val="21"/>
                    </w:rPr>
                  </w:pPr>
                  <w:r>
                    <w:rPr>
                      <w:rFonts w:hint="eastAsia" w:eastAsia="宋体" w:cs="Times New Roman"/>
                      <w:sz w:val="21"/>
                      <w:szCs w:val="21"/>
                    </w:rPr>
                    <w:t>融合粗糙集与GRA的异构信息多准则三支推荐及其在医疗推荐中的应用</w:t>
                  </w:r>
                </w:p>
              </w:tc>
            </w:tr>
          </w:tbl>
          <w:p w14:paraId="75563614">
            <w:pPr>
              <w:snapToGrid w:val="0"/>
              <w:spacing w:after="0" w:line="240" w:lineRule="auto"/>
              <w:jc w:val="center"/>
              <w:rPr>
                <w:rFonts w:cs="Times New Roman" w:eastAsiaTheme="minorEastAsia"/>
                <w:kern w:val="0"/>
                <w:sz w:val="24"/>
              </w:rPr>
            </w:pPr>
          </w:p>
          <w:p w14:paraId="5EDE4735">
            <w:pPr>
              <w:snapToGrid w:val="0"/>
              <w:spacing w:after="0" w:line="240" w:lineRule="auto"/>
              <w:jc w:val="center"/>
              <w:rPr>
                <w:rFonts w:cs="Times New Roman" w:eastAsiaTheme="minorEastAsia"/>
                <w:kern w:val="0"/>
                <w:sz w:val="24"/>
              </w:rPr>
            </w:pPr>
          </w:p>
          <w:p w14:paraId="490A5A0B">
            <w:pPr>
              <w:snapToGrid w:val="0"/>
              <w:spacing w:after="0" w:line="240" w:lineRule="auto"/>
              <w:jc w:val="center"/>
              <w:rPr>
                <w:rFonts w:hint="eastAsia" w:cs="Times New Roman" w:eastAsiaTheme="minorEastAsia"/>
                <w:kern w:val="0"/>
                <w:sz w:val="24"/>
              </w:rPr>
            </w:pPr>
          </w:p>
        </w:tc>
      </w:tr>
    </w:tbl>
    <w:p w14:paraId="62296EA5">
      <w:pPr>
        <w:snapToGrid w:val="0"/>
        <w:spacing w:after="0" w:line="360" w:lineRule="auto"/>
        <w:jc w:val="both"/>
        <w:rPr>
          <w:rFonts w:cs="Times New Roman" w:eastAsiaTheme="minorEastAsia"/>
          <w:sz w:val="28"/>
          <w:szCs w:val="28"/>
        </w:rPr>
      </w:pPr>
    </w:p>
    <w:sectPr>
      <w:footerReference r:id="rId5" w:type="default"/>
      <w:pgSz w:w="11906" w:h="16838"/>
      <w:pgMar w:top="720" w:right="720" w:bottom="720" w:left="72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BB7D9FC-D9F2-42B2-8904-1F25EAC8991A}"/>
  </w:font>
  <w:font w:name="仿宋_GB2312">
    <w:altName w:val="仿宋"/>
    <w:panose1 w:val="02010609030101010101"/>
    <w:charset w:val="86"/>
    <w:family w:val="modern"/>
    <w:pitch w:val="default"/>
    <w:sig w:usb0="00000000" w:usb1="00000000" w:usb2="00000010" w:usb3="00000000" w:csb0="00040000" w:csb1="00000000"/>
    <w:embedRegular r:id="rId2" w:fontKey="{90DE8297-A09C-4452-8545-D27ED88EA508}"/>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13CDE14C-8E09-4749-8F9E-892508A788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647445"/>
      <w:docPartObj>
        <w:docPartGallery w:val="autotext"/>
      </w:docPartObj>
    </w:sdtPr>
    <w:sdtEndPr>
      <w:rPr>
        <w:rFonts w:cs="Times New Roman" w:eastAsiaTheme="minorEastAsia"/>
        <w:sz w:val="21"/>
        <w:szCs w:val="21"/>
      </w:rPr>
    </w:sdtEndPr>
    <w:sdtContent>
      <w:sdt>
        <w:sdtPr>
          <w:id w:val="2031988556"/>
          <w:docPartObj>
            <w:docPartGallery w:val="autotext"/>
          </w:docPartObj>
        </w:sdtPr>
        <w:sdtEndPr>
          <w:rPr>
            <w:rFonts w:cs="Times New Roman" w:eastAsiaTheme="minorEastAsia"/>
            <w:sz w:val="21"/>
            <w:szCs w:val="21"/>
          </w:rPr>
        </w:sdtEndPr>
        <w:sdtContent>
          <w:p w14:paraId="0D008304">
            <w:pPr>
              <w:pStyle w:val="3"/>
              <w:jc w:val="center"/>
              <w:rPr>
                <w:rFonts w:cs="Times New Roman" w:eastAsiaTheme="minorEastAsia"/>
                <w:sz w:val="21"/>
                <w:szCs w:val="21"/>
              </w:rPr>
            </w:pPr>
            <w:r>
              <w:rPr>
                <w:rFonts w:cs="Times New Roman" w:eastAsiaTheme="minorEastAsia"/>
                <w:sz w:val="21"/>
                <w:szCs w:val="21"/>
              </w:rPr>
              <w:t>第</w:t>
            </w:r>
            <w:r>
              <w:rPr>
                <w:rFonts w:cs="Times New Roman" w:eastAsiaTheme="minorEastAsia"/>
                <w:sz w:val="21"/>
                <w:szCs w:val="21"/>
                <w:lang w:val="zh-CN"/>
              </w:rPr>
              <w:t xml:space="preserve"> </w:t>
            </w:r>
            <w:r>
              <w:rPr>
                <w:rFonts w:cs="Times New Roman" w:eastAsiaTheme="minorEastAsia"/>
                <w:bCs/>
                <w:sz w:val="21"/>
                <w:szCs w:val="21"/>
              </w:rPr>
              <w:fldChar w:fldCharType="begin"/>
            </w:r>
            <w:r>
              <w:rPr>
                <w:rFonts w:cs="Times New Roman" w:eastAsiaTheme="minorEastAsia"/>
                <w:bCs/>
                <w:sz w:val="21"/>
                <w:szCs w:val="21"/>
              </w:rPr>
              <w:instrText xml:space="preserve">PAGE</w:instrText>
            </w:r>
            <w:r>
              <w:rPr>
                <w:rFonts w:cs="Times New Roman" w:eastAsiaTheme="minorEastAsia"/>
                <w:bCs/>
                <w:sz w:val="21"/>
                <w:szCs w:val="21"/>
              </w:rPr>
              <w:fldChar w:fldCharType="separate"/>
            </w:r>
            <w:r>
              <w:rPr>
                <w:rFonts w:cs="Times New Roman" w:eastAsiaTheme="minorEastAsia"/>
                <w:bCs/>
                <w:sz w:val="21"/>
                <w:szCs w:val="21"/>
              </w:rPr>
              <w:t>2</w:t>
            </w:r>
            <w:r>
              <w:rPr>
                <w:rFonts w:cs="Times New Roman" w:eastAsiaTheme="minorEastAsia"/>
                <w:bCs/>
                <w:sz w:val="21"/>
                <w:szCs w:val="21"/>
              </w:rPr>
              <w:fldChar w:fldCharType="end"/>
            </w:r>
            <w:r>
              <w:rPr>
                <w:rFonts w:cs="Times New Roman" w:eastAsiaTheme="minorEastAsia"/>
                <w:sz w:val="21"/>
                <w:szCs w:val="21"/>
                <w:lang w:val="zh-CN"/>
              </w:rPr>
              <w:t xml:space="preserve"> 页/共 </w:t>
            </w:r>
            <w:r>
              <w:rPr>
                <w:rFonts w:cs="Times New Roman" w:eastAsiaTheme="minorEastAsia"/>
                <w:bCs/>
                <w:sz w:val="21"/>
                <w:szCs w:val="21"/>
              </w:rPr>
              <w:fldChar w:fldCharType="begin"/>
            </w:r>
            <w:r>
              <w:rPr>
                <w:rFonts w:cs="Times New Roman" w:eastAsiaTheme="minorEastAsia"/>
                <w:bCs/>
                <w:sz w:val="21"/>
                <w:szCs w:val="21"/>
              </w:rPr>
              <w:instrText xml:space="preserve">NUMPAGES</w:instrText>
            </w:r>
            <w:r>
              <w:rPr>
                <w:rFonts w:cs="Times New Roman" w:eastAsiaTheme="minorEastAsia"/>
                <w:bCs/>
                <w:sz w:val="21"/>
                <w:szCs w:val="21"/>
              </w:rPr>
              <w:fldChar w:fldCharType="separate"/>
            </w:r>
            <w:r>
              <w:rPr>
                <w:rFonts w:cs="Times New Roman" w:eastAsiaTheme="minorEastAsia"/>
                <w:bCs/>
                <w:sz w:val="21"/>
                <w:szCs w:val="21"/>
              </w:rPr>
              <w:t>2</w:t>
            </w:r>
            <w:r>
              <w:rPr>
                <w:rFonts w:cs="Times New Roman" w:eastAsiaTheme="minorEastAsia"/>
                <w:bCs/>
                <w:sz w:val="21"/>
                <w:szCs w:val="21"/>
              </w:rPr>
              <w:fldChar w:fldCharType="end"/>
            </w:r>
            <w:r>
              <w:rPr>
                <w:rFonts w:cs="Times New Roman" w:eastAsiaTheme="minorEastAsia"/>
                <w:bCs/>
                <w:sz w:val="21"/>
                <w:szCs w:val="21"/>
              </w:rPr>
              <w:t xml:space="preserve"> 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B0C"/>
    <w:rsid w:val="00046B3D"/>
    <w:rsid w:val="0005146D"/>
    <w:rsid w:val="0005390C"/>
    <w:rsid w:val="00080D52"/>
    <w:rsid w:val="000C4004"/>
    <w:rsid w:val="000D138A"/>
    <w:rsid w:val="000D1E40"/>
    <w:rsid w:val="000D2A2D"/>
    <w:rsid w:val="000F3B56"/>
    <w:rsid w:val="001017A2"/>
    <w:rsid w:val="001B5AD6"/>
    <w:rsid w:val="001E6F66"/>
    <w:rsid w:val="00264000"/>
    <w:rsid w:val="002D6FE3"/>
    <w:rsid w:val="003039F5"/>
    <w:rsid w:val="003238C3"/>
    <w:rsid w:val="00334E63"/>
    <w:rsid w:val="00342418"/>
    <w:rsid w:val="003807B0"/>
    <w:rsid w:val="00384526"/>
    <w:rsid w:val="0040593C"/>
    <w:rsid w:val="004129C6"/>
    <w:rsid w:val="00464C6D"/>
    <w:rsid w:val="0047389D"/>
    <w:rsid w:val="00484D18"/>
    <w:rsid w:val="004A05BC"/>
    <w:rsid w:val="004C3D4A"/>
    <w:rsid w:val="004D7BB2"/>
    <w:rsid w:val="0055391E"/>
    <w:rsid w:val="00575E50"/>
    <w:rsid w:val="005C6D53"/>
    <w:rsid w:val="005D74EC"/>
    <w:rsid w:val="005E3249"/>
    <w:rsid w:val="005E3A26"/>
    <w:rsid w:val="006604DD"/>
    <w:rsid w:val="006658EB"/>
    <w:rsid w:val="00666EE9"/>
    <w:rsid w:val="00681277"/>
    <w:rsid w:val="0068158A"/>
    <w:rsid w:val="006B315C"/>
    <w:rsid w:val="006E7004"/>
    <w:rsid w:val="006E77B9"/>
    <w:rsid w:val="00707D7D"/>
    <w:rsid w:val="00746514"/>
    <w:rsid w:val="00765322"/>
    <w:rsid w:val="00766CB4"/>
    <w:rsid w:val="007A023E"/>
    <w:rsid w:val="007B0EC4"/>
    <w:rsid w:val="007B790F"/>
    <w:rsid w:val="007F6665"/>
    <w:rsid w:val="00813DBD"/>
    <w:rsid w:val="0086689E"/>
    <w:rsid w:val="00870C3D"/>
    <w:rsid w:val="008818E1"/>
    <w:rsid w:val="00913719"/>
    <w:rsid w:val="009261F6"/>
    <w:rsid w:val="009562EB"/>
    <w:rsid w:val="00972A05"/>
    <w:rsid w:val="009918C7"/>
    <w:rsid w:val="009B3FD5"/>
    <w:rsid w:val="009E42F0"/>
    <w:rsid w:val="009F29A2"/>
    <w:rsid w:val="009F7166"/>
    <w:rsid w:val="009F7330"/>
    <w:rsid w:val="00A56124"/>
    <w:rsid w:val="00A66E19"/>
    <w:rsid w:val="00A86F83"/>
    <w:rsid w:val="00A95741"/>
    <w:rsid w:val="00AB3EEB"/>
    <w:rsid w:val="00AC3DF3"/>
    <w:rsid w:val="00AC6191"/>
    <w:rsid w:val="00AD5A81"/>
    <w:rsid w:val="00AD794C"/>
    <w:rsid w:val="00AE4D06"/>
    <w:rsid w:val="00B5240B"/>
    <w:rsid w:val="00B71486"/>
    <w:rsid w:val="00B77D31"/>
    <w:rsid w:val="00B92715"/>
    <w:rsid w:val="00C17408"/>
    <w:rsid w:val="00C26EBE"/>
    <w:rsid w:val="00C30A11"/>
    <w:rsid w:val="00C3244B"/>
    <w:rsid w:val="00C40A86"/>
    <w:rsid w:val="00C43721"/>
    <w:rsid w:val="00C53B0C"/>
    <w:rsid w:val="00C62B7E"/>
    <w:rsid w:val="00D2146E"/>
    <w:rsid w:val="00D657D5"/>
    <w:rsid w:val="00D72F11"/>
    <w:rsid w:val="00DA6B28"/>
    <w:rsid w:val="00DC09C9"/>
    <w:rsid w:val="00DE7F96"/>
    <w:rsid w:val="00E30E8B"/>
    <w:rsid w:val="00E95626"/>
    <w:rsid w:val="00EC53EC"/>
    <w:rsid w:val="00EF1EB6"/>
    <w:rsid w:val="00F40A8B"/>
    <w:rsid w:val="00F5078D"/>
    <w:rsid w:val="00F73470"/>
    <w:rsid w:val="00FB1167"/>
    <w:rsid w:val="00FB6CF3"/>
    <w:rsid w:val="00FE7644"/>
    <w:rsid w:val="00FF7771"/>
    <w:rsid w:val="153D6097"/>
    <w:rsid w:val="26B374F7"/>
    <w:rsid w:val="393F519C"/>
    <w:rsid w:val="514318D7"/>
    <w:rsid w:val="6C3D223C"/>
    <w:rsid w:val="7C965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560" w:lineRule="exact"/>
    </w:pPr>
    <w:rPr>
      <w:rFonts w:ascii="Times New Roman" w:hAnsi="Times New Roman" w:eastAsia="仿宋_GB2312" w:cstheme="minorBidi"/>
      <w:kern w:val="2"/>
      <w:sz w:val="32"/>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10"/>
    <w:qFormat/>
    <w:uiPriority w:val="0"/>
    <w:pPr>
      <w:widowControl w:val="0"/>
      <w:spacing w:after="0" w:line="400" w:lineRule="exact"/>
      <w:ind w:firstLine="420" w:firstLineChars="200"/>
      <w:jc w:val="both"/>
    </w:pPr>
    <w:rPr>
      <w:rFonts w:eastAsia="宋体" w:cs="Times New Roman"/>
      <w:bCs/>
      <w:sz w:val="21"/>
      <w:szCs w:val="21"/>
    </w:rPr>
  </w:style>
  <w:style w:type="paragraph" w:styleId="3">
    <w:name w:val="footer"/>
    <w:basedOn w:val="1"/>
    <w:link w:val="9"/>
    <w:unhideWhenUsed/>
    <w:qFormat/>
    <w:uiPriority w:val="99"/>
    <w:pPr>
      <w:tabs>
        <w:tab w:val="center" w:pos="4153"/>
        <w:tab w:val="right" w:pos="8306"/>
      </w:tabs>
      <w:snapToGrid w:val="0"/>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纯文本 字符"/>
    <w:basedOn w:val="7"/>
    <w:link w:val="2"/>
    <w:qFormat/>
    <w:uiPriority w:val="0"/>
    <w:rPr>
      <w:rFonts w:ascii="Times New Roman" w:hAnsi="Times New Roman" w:eastAsia="宋体" w:cs="Times New Roman"/>
      <w:bCs/>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358FE-B22B-4E38-BDB3-0D38BCA22D56}">
  <ds:schemaRefs/>
</ds:datastoreItem>
</file>

<file path=docProps/app.xml><?xml version="1.0" encoding="utf-8"?>
<Properties xmlns="http://schemas.openxmlformats.org/officeDocument/2006/extended-properties" xmlns:vt="http://schemas.openxmlformats.org/officeDocument/2006/docPropsVTypes">
  <Template>Normal.dotm</Template>
  <Pages>8</Pages>
  <Words>6863</Words>
  <Characters>9548</Characters>
  <Lines>810</Lines>
  <Paragraphs>430</Paragraphs>
  <TotalTime>126</TotalTime>
  <ScaleCrop>false</ScaleCrop>
  <LinksUpToDate>false</LinksUpToDate>
  <CharactersWithSpaces>9942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2026-08-17T04:12:00Z</dcterms:created>
  <dc:creator>刘畅</dc:creator>
  <cp:lastModifiedBy>海阔天会空</cp:lastModifiedBy>
  <dcterms:modified xsi:type="dcterms:W3CDTF">2026-08-21T02:58:17Z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eyJoZGlkIjoiOGIwZjIxNzI5ZGMzMWNmY2VlZjM2YjBlMjQ3NGU2ZDQiLCJ1c2VySWQiOiIyODA1NjA5NjYifQ==</vt:lpwstr>
  </property>
  <property fmtid="{D5CDD505-2E9C-101B-9397-08002B2CF9AE}" pid="3" name="KSOProductBuildVer">
    <vt:lpwstr>2052-12.1.0.28043</vt:lpwstr>
  </property>
  <property fmtid="{D5CDD505-2E9C-101B-9397-08002B2CF9AE}" pid="4" name="ICV">
    <vt:lpwstr>668F389A740540599208C61DFA41A445_13</vt:lpwstr>
  </property>
</Properties>
</file>