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1380" w:tblpY="121"/>
        <w:tblOverlap w:val="never"/>
        <w:tblW w:w="0" w:type="auto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98"/>
        <w:gridCol w:w="638"/>
        <w:gridCol w:w="882"/>
        <w:gridCol w:w="905"/>
        <w:gridCol w:w="4437"/>
        <w:gridCol w:w="3923"/>
        <w:gridCol w:w="2791"/>
      </w:tblGrid>
      <w:tr w:rsidR="00C54F3D">
        <w:trPr>
          <w:trHeight w:val="834"/>
        </w:trPr>
        <w:tc>
          <w:tcPr>
            <w:tcW w:w="1417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bookmarkStart w:id="0" w:name="_GoBack"/>
            <w:r>
              <w:rPr>
                <w:rFonts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hint="eastAsia"/>
                <w:b/>
                <w:bCs/>
                <w:sz w:val="32"/>
                <w:szCs w:val="32"/>
              </w:rPr>
              <w:t>校</w:t>
            </w:r>
            <w:r>
              <w:rPr>
                <w:rFonts w:hint="eastAsia"/>
                <w:b/>
                <w:bCs/>
                <w:sz w:val="32"/>
                <w:szCs w:val="32"/>
              </w:rPr>
              <w:t>2022</w:t>
            </w:r>
            <w:r>
              <w:rPr>
                <w:rFonts w:hint="eastAsia"/>
                <w:b/>
                <w:bCs/>
                <w:sz w:val="32"/>
                <w:szCs w:val="32"/>
              </w:rPr>
              <w:t>年度高等学校科研计划项目申报方案及指标</w:t>
            </w:r>
            <w:bookmarkEnd w:id="0"/>
          </w:p>
        </w:tc>
      </w:tr>
      <w:tr w:rsidR="00C54F3D">
        <w:trPr>
          <w:trHeight w:val="1275"/>
        </w:trPr>
        <w:tc>
          <w:tcPr>
            <w:tcW w:w="59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项目类别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学科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门类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学校立项数量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单项经费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/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万元</w:t>
            </w:r>
          </w:p>
        </w:tc>
        <w:tc>
          <w:tcPr>
            <w:tcW w:w="4437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学校拟定的申报方案</w:t>
            </w:r>
          </w:p>
        </w:tc>
        <w:tc>
          <w:tcPr>
            <w:tcW w:w="3923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经费划拨方式及后续管理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备注</w:t>
            </w:r>
          </w:p>
        </w:tc>
      </w:tr>
      <w:tr w:rsidR="00C54F3D">
        <w:trPr>
          <w:trHeight w:val="3093"/>
        </w:trPr>
        <w:tc>
          <w:tcPr>
            <w:tcW w:w="598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科研创新团队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200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，须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依托于博士立项建设及支撑学科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(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含方向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)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国家级培育平台进行申报；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楷体" w:eastAsia="楷体" w:hAnsi="楷体" w:cs="楷体"/>
                <w:bCs/>
                <w:sz w:val="18"/>
                <w:szCs w:val="18"/>
                <w:u w:val="single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曾获省部级及以上支持的科研创新团队，不重复申报。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曾获校级团队项目的，若获批立项，前期支持经费未达到本次立项经费额度的，补齐差额。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剩余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由团队通过产学研合作、成果转化等途径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自筹，签署承诺书。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研究周期内未实现指南目标的，依托的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/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平台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达到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指南目标中“国家级创新团队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”推荐要求，或获批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“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省部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级及以上创新团队”</w:t>
            </w:r>
          </w:p>
        </w:tc>
      </w:tr>
      <w:tr w:rsidR="00C54F3D">
        <w:trPr>
          <w:trHeight w:val="2792"/>
        </w:trPr>
        <w:tc>
          <w:tcPr>
            <w:tcW w:w="598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哲学社会科学类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100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，优先推荐依托校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高峰学科、省部级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科研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平台申报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项目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楷体" w:eastAsia="楷体" w:hAnsi="楷体" w:cs="楷体"/>
                <w:bCs/>
                <w:sz w:val="18"/>
                <w:szCs w:val="18"/>
                <w:u w:val="single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曾获省部级及以上支持的科研创新团队，不重复申报。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曾获校级团队项目的，若获批立项，前期支持经费未达到本次立项经费额度的，补齐差额。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剩余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由团队通过产学研合作、成果转化等途径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自筹，签署承诺书。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研究周期内未实现指南目标的，依托的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/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平台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指南目标中“教育部及其他国家级创新团队”可放宽至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“省级及以上创新团队”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或获得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项教育部、安徽省社科奖（二等奖及以上）</w:t>
            </w:r>
          </w:p>
        </w:tc>
      </w:tr>
      <w:tr w:rsidR="00C54F3D">
        <w:trPr>
          <w:trHeight w:val="4098"/>
        </w:trPr>
        <w:tc>
          <w:tcPr>
            <w:tcW w:w="598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lastRenderedPageBreak/>
              <w:t>高校杰青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100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楷体" w:eastAsia="楷体" w:hAnsi="楷体" w:cs="楷体"/>
                <w:bCs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，须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依托于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省、校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高峰学科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（含学科方向）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、高原学科申报；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曾获安徽省杰青的不重复申报。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立项后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学校先支持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研究周期内实现指南目标，拨付剩余经费；研究周期内未实现指南目标的，依托的学科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指南目标为“获得国家、省杰出青年科学项目”</w:t>
            </w:r>
          </w:p>
        </w:tc>
      </w:tr>
      <w:tr w:rsidR="00C54F3D">
        <w:trPr>
          <w:trHeight w:val="4017"/>
        </w:trPr>
        <w:tc>
          <w:tcPr>
            <w:tcW w:w="598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哲学社会科学类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，优先推荐依托校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高峰学科、高原学科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进行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申报；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立项后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学校先支持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研究周期内实现指南目标，拨付剩余经费；研究周期内未实现指南目标的，依托的学科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指南目标中“国家级人才项目”可放宽至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“省部级及以上人才项目”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或获得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项安徽省社科奖（二等奖及以上，排名第一）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</w:tc>
      </w:tr>
      <w:tr w:rsidR="00C54F3D">
        <w:trPr>
          <w:trHeight w:val="2170"/>
        </w:trPr>
        <w:tc>
          <w:tcPr>
            <w:tcW w:w="598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lastRenderedPageBreak/>
              <w:t>高校优青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4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Cs/>
                <w:sz w:val="18"/>
                <w:szCs w:val="18"/>
                <w:u w:val="single"/>
              </w:rPr>
              <w:t>曾获安徽省杰青、优青的不重复申报。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立项后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学校先支持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研究周期内实现指南目标，拨付剩余经费；研究周期内未实现指南目标的，依托学院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指南目标为“获得国家、省优秀青年科学项目”</w:t>
            </w:r>
          </w:p>
        </w:tc>
      </w:tr>
      <w:tr w:rsidR="00C54F3D">
        <w:trPr>
          <w:trHeight w:val="2181"/>
        </w:trPr>
        <w:tc>
          <w:tcPr>
            <w:tcW w:w="598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哲学社会科学类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sz w:val="18"/>
                <w:szCs w:val="18"/>
              </w:rPr>
              <w:t>4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sz w:val="18"/>
                <w:szCs w:val="18"/>
              </w:rPr>
              <w:t>30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立项后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学校先支持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50%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经费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统一按通知要求考核。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研究周期内实现指南目标，拨付剩余经费；研究周期内未实现指南目标的，依托学院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下一年度不予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申报该类项目。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指南目标中“国家级人才项目”可放宽至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“省部级及以上人才项目”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或获得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项安徽省社科奖（排名第一）</w:t>
            </w:r>
          </w:p>
        </w:tc>
      </w:tr>
      <w:tr w:rsidR="00C54F3D">
        <w:trPr>
          <w:trHeight w:val="1809"/>
        </w:trPr>
        <w:tc>
          <w:tcPr>
            <w:tcW w:w="598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重大项目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5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依托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博士立项支撑学科或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省部级科研平台申报；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满足上述要求的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jc w:val="lef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按通知申报要求执行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，并统一按通知要求考核。</w:t>
            </w:r>
          </w:p>
        </w:tc>
        <w:tc>
          <w:tcPr>
            <w:tcW w:w="2791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考核指标中必须包括明确的成果赋权转化指标。</w:t>
            </w:r>
          </w:p>
        </w:tc>
      </w:tr>
      <w:tr w:rsidR="00C54F3D">
        <w:trPr>
          <w:trHeight w:val="1884"/>
        </w:trPr>
        <w:tc>
          <w:tcPr>
            <w:tcW w:w="598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哲学社会科学类</w:t>
            </w:r>
          </w:p>
        </w:tc>
        <w:tc>
          <w:tcPr>
            <w:tcW w:w="882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3</w:t>
            </w: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sz w:val="18"/>
                <w:szCs w:val="18"/>
              </w:rPr>
              <w:t>8</w:t>
            </w:r>
          </w:p>
        </w:tc>
        <w:tc>
          <w:tcPr>
            <w:tcW w:w="4437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依托科研平台申报；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满足上述要求的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相关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学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院限申报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923" w:type="dxa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jc w:val="lef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按通知申报要求执行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，并统一按通知要求考核。</w:t>
            </w:r>
          </w:p>
        </w:tc>
        <w:tc>
          <w:tcPr>
            <w:tcW w:w="2791" w:type="dxa"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</w:tr>
      <w:tr w:rsidR="00C54F3D">
        <w:trPr>
          <w:trHeight w:val="3937"/>
        </w:trPr>
        <w:tc>
          <w:tcPr>
            <w:tcW w:w="598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lastRenderedPageBreak/>
              <w:t>重点项目</w:t>
            </w: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自然科学类</w:t>
            </w:r>
          </w:p>
        </w:tc>
        <w:tc>
          <w:tcPr>
            <w:tcW w:w="882" w:type="dxa"/>
            <w:vMerge w:val="restart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各学院限额申报，学校审定。</w:t>
            </w:r>
          </w:p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  <w:u w:val="single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  <w:u w:val="single"/>
              </w:rPr>
              <w:t>有在研省部级及以上项目的负责人不得申报重点项目。</w:t>
            </w:r>
          </w:p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10</w:t>
            </w:r>
          </w:p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4437" w:type="dxa"/>
            <w:vMerge w:val="restart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满足指南要求的基础上进行申报，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按文件要求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优先支持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40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岁及以下的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博士、副教授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、讲师（以下简称青年教师）等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sz w:val="18"/>
                <w:szCs w:val="18"/>
              </w:rPr>
              <w:t>①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基础指标：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建有高峰学科的学院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限报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4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项（不少于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3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项支持青年教师）；建有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省部级平台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或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高原学科的学院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限报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3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（不少于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项支持青年教师）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；其他学院限报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项（不少于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项支持青年教师）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（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推荐申报项目必须符合学院报送的科研规划方向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）；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sz w:val="18"/>
                <w:szCs w:val="18"/>
              </w:rPr>
              <w:t>②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新增平台单列指标：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安徽省生态纺织印染创新中心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项；安徽省先进纤维重点实验室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2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;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Calibri" w:eastAsia="仿宋" w:hAnsi="Calibri" w:cs="Calibri"/>
                <w:b/>
                <w:sz w:val="18"/>
                <w:szCs w:val="18"/>
              </w:rPr>
            </w:pPr>
            <w:r>
              <w:rPr>
                <w:rFonts w:ascii="仿宋" w:eastAsia="仿宋" w:hAnsi="仿宋" w:cs="仿宋"/>
                <w:b/>
                <w:sz w:val="18"/>
                <w:szCs w:val="18"/>
              </w:rPr>
              <w:t>③</w:t>
            </w:r>
            <w:r>
              <w:rPr>
                <w:rFonts w:ascii="Calibri" w:eastAsia="仿宋" w:hAnsi="Calibri" w:cs="Calibri" w:hint="eastAsia"/>
                <w:b/>
                <w:sz w:val="18"/>
                <w:szCs w:val="18"/>
              </w:rPr>
              <w:t>国家基金奖励指标：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对超出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2021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年度基金关键指标数的学院进行奖励，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数金学院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2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项，艺术学院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1</w:t>
            </w:r>
            <w:r>
              <w:rPr>
                <w:rFonts w:ascii="Calibri" w:eastAsia="仿宋" w:hAnsi="Calibri" w:cs="Calibri" w:hint="eastAsia"/>
                <w:bCs/>
                <w:sz w:val="18"/>
                <w:szCs w:val="18"/>
              </w:rPr>
              <w:t>项；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④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思政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专项：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3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由学生处组织评审，申报主持人必须是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专职从事辅导员等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思政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工作的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教职工，优先支持“三全六专”指南为课题方向的项目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;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auto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⑤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图书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信息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系列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：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1</w:t>
            </w:r>
            <w:r>
              <w:rPr>
                <w:rFonts w:ascii="仿宋" w:eastAsia="仿宋" w:hAnsi="仿宋" w:cs="仿宋" w:hint="eastAsia"/>
                <w:b/>
                <w:sz w:val="18"/>
                <w:szCs w:val="18"/>
              </w:rPr>
              <w:t>项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，由图书馆组织评审，申报主持人必须是图书系列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教职工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3923" w:type="dxa"/>
            <w:vMerge w:val="restart"/>
            <w:vAlign w:val="center"/>
          </w:tcPr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jc w:val="lef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按通知申报要求执行</w:t>
            </w: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，并统一按通知要求考核。</w:t>
            </w:r>
          </w:p>
          <w:p w:rsidR="00C54F3D" w:rsidRDefault="00F95D27" w:rsidP="00F95D27">
            <w:pPr>
              <w:adjustRightInd w:val="0"/>
              <w:snapToGrid w:val="0"/>
              <w:spacing w:beforeLines="50" w:before="156" w:line="360" w:lineRule="exact"/>
              <w:jc w:val="left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各学院上报推荐项目后，学校将进行意识形态审查和形式审查，不符合要求的项目不予立项，且不再递补。</w:t>
            </w:r>
          </w:p>
        </w:tc>
        <w:tc>
          <w:tcPr>
            <w:tcW w:w="2791" w:type="dxa"/>
            <w:vMerge w:val="restart"/>
            <w:vAlign w:val="center"/>
          </w:tcPr>
          <w:p w:rsidR="00C54F3D" w:rsidRDefault="00C54F3D">
            <w:pPr>
              <w:adjustRightInd w:val="0"/>
              <w:snapToGrid w:val="0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</w:tr>
      <w:tr w:rsidR="00C54F3D">
        <w:trPr>
          <w:trHeight w:val="3977"/>
        </w:trPr>
        <w:tc>
          <w:tcPr>
            <w:tcW w:w="598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Cs/>
                <w:sz w:val="18"/>
                <w:szCs w:val="18"/>
              </w:rPr>
              <w:t>哲学社会科学类</w:t>
            </w:r>
          </w:p>
        </w:tc>
        <w:tc>
          <w:tcPr>
            <w:tcW w:w="882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C54F3D" w:rsidRDefault="00F95D27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  <w:r>
              <w:rPr>
                <w:rFonts w:ascii="仿宋" w:eastAsia="仿宋" w:hAnsi="仿宋" w:cs="仿宋"/>
                <w:bCs/>
                <w:sz w:val="18"/>
                <w:szCs w:val="18"/>
              </w:rPr>
              <w:t>4</w:t>
            </w:r>
          </w:p>
        </w:tc>
        <w:tc>
          <w:tcPr>
            <w:tcW w:w="4437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3923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  <w:tc>
          <w:tcPr>
            <w:tcW w:w="2791" w:type="dxa"/>
            <w:vMerge/>
            <w:vAlign w:val="center"/>
          </w:tcPr>
          <w:p w:rsidR="00C54F3D" w:rsidRDefault="00C54F3D">
            <w:pPr>
              <w:adjustRightInd w:val="0"/>
              <w:snapToGrid w:val="0"/>
              <w:rPr>
                <w:rFonts w:ascii="仿宋" w:eastAsia="仿宋" w:hAnsi="仿宋" w:cs="仿宋"/>
                <w:bCs/>
                <w:sz w:val="18"/>
                <w:szCs w:val="18"/>
              </w:rPr>
            </w:pPr>
          </w:p>
        </w:tc>
      </w:tr>
    </w:tbl>
    <w:p w:rsidR="00C54F3D" w:rsidRDefault="00C54F3D"/>
    <w:sectPr w:rsidR="00C54F3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C54F3D"/>
    <w:rsid w:val="00C54F3D"/>
    <w:rsid w:val="00F95D27"/>
    <w:rsid w:val="03F044D1"/>
    <w:rsid w:val="1058728D"/>
    <w:rsid w:val="400B5934"/>
    <w:rsid w:val="4AB976FE"/>
    <w:rsid w:val="6F51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黄江胜</cp:lastModifiedBy>
  <cp:revision>2</cp:revision>
  <cp:lastPrinted>2022-09-07T09:20:00Z</cp:lastPrinted>
  <dcterms:created xsi:type="dcterms:W3CDTF">2022-09-07T09:18:00Z</dcterms:created>
  <dcterms:modified xsi:type="dcterms:W3CDTF">2022-09-08T02:00:00Z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77AC49B85FC143F9BE2D0082008A53CE</vt:lpwstr>
  </property>
</Properties>
</file>