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F8" w:rsidRPr="002B42F8" w:rsidRDefault="002B42F8" w:rsidP="002B42F8">
      <w:pPr>
        <w:widowControl/>
        <w:shd w:val="clear" w:color="auto" w:fill="FFFFFF"/>
        <w:spacing w:line="748" w:lineRule="atLeast"/>
        <w:jc w:val="center"/>
        <w:outlineLvl w:val="0"/>
        <w:rPr>
          <w:rFonts w:ascii="微软雅黑" w:eastAsia="微软雅黑" w:hAnsi="微软雅黑" w:cs="宋体"/>
          <w:b/>
          <w:bCs/>
          <w:color w:val="000000"/>
          <w:kern w:val="36"/>
          <w:sz w:val="37"/>
          <w:szCs w:val="37"/>
        </w:rPr>
      </w:pPr>
      <w:r w:rsidRPr="002B42F8">
        <w:rPr>
          <w:rFonts w:ascii="微软雅黑" w:eastAsia="微软雅黑" w:hAnsi="微软雅黑" w:cs="宋体" w:hint="eastAsia"/>
          <w:b/>
          <w:bCs/>
          <w:color w:val="000000"/>
          <w:kern w:val="36"/>
          <w:sz w:val="37"/>
          <w:szCs w:val="37"/>
        </w:rPr>
        <w:t>重大疫情的环境安全与次生风险防控重大项目2020年度项目指南</w:t>
      </w:r>
    </w:p>
    <w:p w:rsidR="002B42F8" w:rsidRPr="002B42F8" w:rsidRDefault="002B42F8" w:rsidP="002B42F8">
      <w:pPr>
        <w:widowControl/>
        <w:shd w:val="clear" w:color="auto" w:fill="FFFFFF"/>
        <w:spacing w:line="561" w:lineRule="atLeast"/>
        <w:jc w:val="center"/>
        <w:rPr>
          <w:rFonts w:ascii="微软雅黑" w:eastAsia="微软雅黑" w:hAnsi="微软雅黑" w:cs="宋体" w:hint="eastAsia"/>
          <w:color w:val="000000"/>
          <w:kern w:val="0"/>
          <w:sz w:val="22"/>
        </w:rPr>
      </w:pPr>
      <w:r w:rsidRPr="002B42F8">
        <w:rPr>
          <w:rFonts w:ascii="微软雅黑" w:eastAsia="微软雅黑" w:hAnsi="微软雅黑" w:cs="宋体" w:hint="eastAsia"/>
          <w:color w:val="000000"/>
          <w:kern w:val="0"/>
          <w:sz w:val="22"/>
        </w:rPr>
        <w:t>日期 2020-03-11　  来源：　  作者：　 【</w:t>
      </w:r>
      <w:hyperlink r:id="rId6" w:history="1">
        <w:r w:rsidRPr="002B42F8">
          <w:rPr>
            <w:rFonts w:ascii="微软雅黑" w:eastAsia="微软雅黑" w:hAnsi="微软雅黑" w:cs="宋体" w:hint="eastAsia"/>
            <w:color w:val="333333"/>
            <w:kern w:val="0"/>
            <w:sz w:val="22"/>
          </w:rPr>
          <w:t>大</w:t>
        </w:r>
      </w:hyperlink>
      <w:r w:rsidRPr="002B42F8">
        <w:rPr>
          <w:rFonts w:ascii="微软雅黑" w:eastAsia="微软雅黑" w:hAnsi="微软雅黑" w:cs="宋体" w:hint="eastAsia"/>
          <w:color w:val="000000"/>
          <w:kern w:val="0"/>
          <w:sz w:val="22"/>
        </w:rPr>
        <w:t> </w:t>
      </w:r>
      <w:hyperlink r:id="rId7" w:history="1">
        <w:r w:rsidRPr="002B42F8">
          <w:rPr>
            <w:rFonts w:ascii="微软雅黑" w:eastAsia="微软雅黑" w:hAnsi="微软雅黑" w:cs="宋体" w:hint="eastAsia"/>
            <w:color w:val="333333"/>
            <w:kern w:val="0"/>
            <w:sz w:val="22"/>
          </w:rPr>
          <w:t>中</w:t>
        </w:r>
      </w:hyperlink>
      <w:r w:rsidRPr="002B42F8">
        <w:rPr>
          <w:rFonts w:ascii="微软雅黑" w:eastAsia="微软雅黑" w:hAnsi="微软雅黑" w:cs="宋体" w:hint="eastAsia"/>
          <w:color w:val="000000"/>
          <w:kern w:val="0"/>
          <w:sz w:val="22"/>
        </w:rPr>
        <w:t> </w:t>
      </w:r>
      <w:hyperlink r:id="rId8" w:history="1">
        <w:r w:rsidRPr="002B42F8">
          <w:rPr>
            <w:rFonts w:ascii="微软雅黑" w:eastAsia="微软雅黑" w:hAnsi="微软雅黑" w:cs="宋体" w:hint="eastAsia"/>
            <w:color w:val="333333"/>
            <w:kern w:val="0"/>
            <w:sz w:val="22"/>
          </w:rPr>
          <w:t>小</w:t>
        </w:r>
      </w:hyperlink>
      <w:r w:rsidRPr="002B42F8">
        <w:rPr>
          <w:rFonts w:ascii="微软雅黑" w:eastAsia="微软雅黑" w:hAnsi="微软雅黑" w:cs="宋体" w:hint="eastAsia"/>
          <w:color w:val="000000"/>
          <w:kern w:val="0"/>
          <w:sz w:val="22"/>
        </w:rPr>
        <w:t>】　  【</w:t>
      </w:r>
      <w:hyperlink r:id="rId9" w:history="1">
        <w:r w:rsidRPr="002B42F8">
          <w:rPr>
            <w:rFonts w:ascii="微软雅黑" w:eastAsia="微软雅黑" w:hAnsi="微软雅黑" w:cs="宋体" w:hint="eastAsia"/>
            <w:color w:val="333333"/>
            <w:kern w:val="0"/>
            <w:sz w:val="22"/>
          </w:rPr>
          <w:t>打印</w:t>
        </w:r>
      </w:hyperlink>
      <w:r w:rsidRPr="002B42F8">
        <w:rPr>
          <w:rFonts w:ascii="微软雅黑" w:eastAsia="微软雅黑" w:hAnsi="微软雅黑" w:cs="宋体" w:hint="eastAsia"/>
          <w:color w:val="000000"/>
          <w:kern w:val="0"/>
          <w:sz w:val="22"/>
        </w:rPr>
        <w:t>】　  【</w:t>
      </w:r>
      <w:hyperlink r:id="rId10" w:history="1">
        <w:r w:rsidRPr="002B42F8">
          <w:rPr>
            <w:rFonts w:ascii="微软雅黑" w:eastAsia="微软雅黑" w:hAnsi="微软雅黑" w:cs="宋体" w:hint="eastAsia"/>
            <w:color w:val="333333"/>
            <w:kern w:val="0"/>
            <w:sz w:val="22"/>
          </w:rPr>
          <w:t>关闭</w:t>
        </w:r>
      </w:hyperlink>
      <w:r w:rsidRPr="002B42F8">
        <w:rPr>
          <w:rFonts w:ascii="微软雅黑" w:eastAsia="微软雅黑" w:hAnsi="微软雅黑" w:cs="宋体" w:hint="eastAsia"/>
          <w:color w:val="000000"/>
          <w:kern w:val="0"/>
          <w:sz w:val="22"/>
        </w:rPr>
        <w:t>】</w:t>
      </w:r>
    </w:p>
    <w:tbl>
      <w:tblPr>
        <w:tblW w:w="5000" w:type="pct"/>
        <w:tblCellSpacing w:w="0" w:type="dxa"/>
        <w:tblCellMar>
          <w:left w:w="0" w:type="dxa"/>
          <w:right w:w="0" w:type="dxa"/>
        </w:tblCellMar>
        <w:tblLook w:val="04A0"/>
      </w:tblPr>
      <w:tblGrid>
        <w:gridCol w:w="8306"/>
      </w:tblGrid>
      <w:tr w:rsidR="002B42F8" w:rsidRPr="002B42F8" w:rsidTr="002B42F8">
        <w:trPr>
          <w:trHeight w:val="187"/>
          <w:tblCellSpacing w:w="0" w:type="dxa"/>
        </w:trPr>
        <w:tc>
          <w:tcPr>
            <w:tcW w:w="0" w:type="auto"/>
            <w:vAlign w:val="center"/>
            <w:hideMark/>
          </w:tcPr>
          <w:p w:rsidR="002B42F8" w:rsidRPr="002B42F8" w:rsidRDefault="002B42F8" w:rsidP="002B42F8">
            <w:pPr>
              <w:widowControl/>
              <w:jc w:val="left"/>
              <w:rPr>
                <w:rFonts w:ascii="宋体" w:eastAsia="宋体" w:hAnsi="宋体" w:cs="宋体"/>
                <w:kern w:val="0"/>
                <w:sz w:val="18"/>
                <w:szCs w:val="24"/>
              </w:rPr>
            </w:pPr>
          </w:p>
        </w:tc>
      </w:tr>
      <w:tr w:rsidR="002B42F8" w:rsidRPr="002B42F8" w:rsidTr="002B42F8">
        <w:trPr>
          <w:tblCellSpacing w:w="0" w:type="dxa"/>
        </w:trPr>
        <w:tc>
          <w:tcPr>
            <w:tcW w:w="0" w:type="auto"/>
            <w:vAlign w:val="center"/>
            <w:hideMark/>
          </w:tcPr>
          <w:p w:rsidR="002B42F8" w:rsidRPr="002B42F8" w:rsidRDefault="002B42F8" w:rsidP="002B42F8">
            <w:pPr>
              <w:widowControl/>
              <w:jc w:val="center"/>
              <w:rPr>
                <w:rFonts w:ascii="宋体" w:eastAsia="宋体" w:hAnsi="宋体" w:cs="宋体"/>
                <w:kern w:val="0"/>
                <w:sz w:val="24"/>
                <w:szCs w:val="24"/>
              </w:rPr>
            </w:pPr>
          </w:p>
        </w:tc>
      </w:tr>
    </w:tbl>
    <w:p w:rsidR="002B42F8" w:rsidRPr="002B42F8" w:rsidRDefault="002B42F8" w:rsidP="002B42F8">
      <w:pPr>
        <w:widowControl/>
        <w:shd w:val="clear" w:color="auto" w:fill="FFFFFF"/>
        <w:spacing w:line="608" w:lineRule="atLeast"/>
        <w:rPr>
          <w:rFonts w:ascii="宋体" w:eastAsia="宋体" w:hAnsi="宋体" w:cs="宋体" w:hint="eastAsia"/>
          <w:kern w:val="0"/>
          <w:sz w:val="24"/>
          <w:szCs w:val="24"/>
        </w:rPr>
      </w:pPr>
      <w:r w:rsidRPr="002B42F8">
        <w:rPr>
          <w:rFonts w:ascii="微软雅黑" w:eastAsia="微软雅黑" w:hAnsi="微软雅黑" w:cs="宋体" w:hint="eastAsia"/>
          <w:color w:val="000000"/>
          <w:kern w:val="0"/>
          <w:sz w:val="24"/>
          <w:szCs w:val="24"/>
        </w:rPr>
        <w:t xml:space="preserve">　　病毒与环境介质之间存在复杂交互作用关系，环境介质既是病毒传播的重要载体，又是疫情防控产生次生环境风险和生态损伤的主要受体。国内外学术界对于疫情期间病毒存活、传播与环境介质的相互作用关系还缺乏科学认知、理论基础和方法学支撑。建立复杂环境介质中病毒检测分析与阻断控制的原理、方法和技术体系，实现疫情防控和次生环境风险协同控制，对于实现重大公共卫生事件中疫情防控和环境安全保障，健全国家公共卫生应急管理体系、提升国家应对重大公共卫生事件能力等，具有重要现实和长远意义。</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一、科学目标</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深刻认识病毒与环境介质交互作用机理，创建复杂介质中病毒富集、分离和存活能力检测新方法，研究其存活、凋亡、转移和转化规律；探明病毒在不同化学和生物作用下的灭活效能，突破环境中病毒安全消杀与次生风险控制的关键技术；研究重大疫情下药品和化学品导致环境次生风险、生态损伤的过程机制，建立疫中、疫后风险评估和生态修复的理论框架和方法体系；提出应对重大疫情的环境风险调控策略，为健全国家生物安全防控体系和公共卫生应急体系提供基础科学支撑。</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二、研究内容</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（一）环境介质中的病毒识别与传播规律。</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lastRenderedPageBreak/>
        <w:t xml:space="preserve">　　研究水、气、土、固废、污泥等多种环境介质中新冠病毒等典型病毒的快速、精准检测方法及其存活能力定量识别技术原理；解析温度、湿度、介质物化与生物性质等关键因素对病毒存活的影响；探明病毒通过单一介质、跨介质和多介质传播通道和交互作用机理，明确影响病毒存活能力与传播通量的环境要素。</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（二）疫情聚集区环境污染及次生风险阻控机制。</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研究不同尺度疫情集中区复杂环境介质中典型病毒的来源、存活、转移及转化规律；评价通用主流方法对主要环境介质中病毒的灭活能力与风险水平，建立含病毒空气、水、固体等介质安全处理及次生风险防控的新原理和新方法；研究抗疫化学品在污水处理、空气净化、垃圾无害化、环境消毒等条件下毒害副产物的阻控机制与最佳使用方法，建立病毒与次生环境风险协同控制的理论和技术系统。</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（三）分散型疫区多点位环境风险的协同控制原理。</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研究在防控水平和敏感受体双重约束条件下，病毒在环境多介质中形成次生环境污染物的机制及生态风险水平；解析分散型疫区固液废物中共存化学品与微生物的复合污染和交互作用过程，发展污水和污泥、畜禽粪便等多点位协同的环境次生风险阻断原理和方法；研究疫中及疫后生态环境风险累积扩散机理与模型，建立疫情分散区生态环境风险预警方法。</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（四）控疫药品和化学品的环境污染及生态效应。</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研究医疗废水及市政污水处理系统中抗疫药品和化学品的消纳效能及其次生产物的排放水平，提出重大疫情中抗疫药品及化学品使用的优化剂量及调控方法；探明典型药品、化学品及其次生产物在不同环境介质中的浓度水平及迁移转</w:t>
      </w:r>
      <w:r w:rsidRPr="002B42F8">
        <w:rPr>
          <w:rFonts w:ascii="微软雅黑" w:eastAsia="微软雅黑" w:hAnsi="微软雅黑" w:cs="宋体" w:hint="eastAsia"/>
          <w:color w:val="000000"/>
          <w:kern w:val="0"/>
          <w:sz w:val="24"/>
          <w:szCs w:val="24"/>
        </w:rPr>
        <w:lastRenderedPageBreak/>
        <w:t>化规律；揭示上述污染胁迫下的生态损伤、敏感物种响应与微生态适应机制，发展受损生态系统的修复技术原理及风险调控模式。</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（五）重大疫情的生态环境风险综合评估与防控策略。</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在重大疫情环境污染与生态风险微观机制研究的基础上，构建涵盖病毒/抗疫化学品、多介质/多途径传播、环境污染和生态损伤等要素的多尺度系统风险评估方法；建立多情景下重大疫情的环境风险累积、暴发和阻控的预测模型；发展重大疫情生态环境风险预警原理，提出基于大数据、人工智能等技术的重大疫情环境安全保障与风险调控策略。</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三、申请要求及注意事项</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（一）申请条件。</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重大项目或重大项目课题申请人应当具备以下条件：</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1．具有承担基础研究课题的经历；</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2．具有高级专业技术职务（职称）。</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在站博士后研究人员、正在攻读研究生学位以及无工作单位或者所在单位不是依托单位的科学技术人员不得作为申请人进行申请。</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（二）申请要求。</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1.本重大项目的资助期限为5年，申请书中的研究期限应填写2021年1月1日—2025年12月31日。</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2.申请人申请的直接费用预算不得超过2000万元/项。</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3.本重大项目围绕科学目标设置5个课题，并分别撰写项目申请书和课题申请书。重大项目只受理整体申请，项目申请人应当是其中1个课题的申请人。</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lastRenderedPageBreak/>
        <w:t xml:space="preserve">　　每个课题的合作研究单位数量不得超过2个。重大项目依托单位和合作研究单位数量合计不得超过5个。</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（三）限项申请规定。</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1. 申请人（不含主要参与者）同年只能申请1项重大项目。上一年度获得重大项目资助的项目主持人和课题负责人，本年度不得作为项目申请人和课题申请人申请重大项目。</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2. 申请和承担项目总数的限制规定。</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2B42F8">
        <w:rPr>
          <w:rFonts w:ascii="MS Gothic" w:eastAsia="MS Gothic" w:hAnsi="MS Gothic" w:cs="MS Gothic" w:hint="eastAsia"/>
          <w:color w:val="000000"/>
          <w:kern w:val="0"/>
          <w:sz w:val="24"/>
          <w:szCs w:val="24"/>
        </w:rPr>
        <w:t> </w:t>
      </w:r>
      <w:r w:rsidRPr="002B42F8">
        <w:rPr>
          <w:rFonts w:ascii="微软雅黑" w:eastAsia="微软雅黑" w:hAnsi="微软雅黑" w:cs="宋体" w:hint="eastAsia"/>
          <w:color w:val="000000"/>
          <w:kern w:val="0"/>
          <w:sz w:val="24"/>
          <w:szCs w:val="24"/>
        </w:rPr>
        <w:t>200</w:t>
      </w:r>
      <w:r w:rsidRPr="002B42F8">
        <w:rPr>
          <w:rFonts w:ascii="MS Gothic" w:eastAsia="MS Gothic" w:hAnsi="MS Gothic" w:cs="MS Gothic" w:hint="eastAsia"/>
          <w:color w:val="000000"/>
          <w:kern w:val="0"/>
          <w:sz w:val="24"/>
          <w:szCs w:val="24"/>
        </w:rPr>
        <w:t> </w:t>
      </w:r>
      <w:r w:rsidRPr="002B42F8">
        <w:rPr>
          <w:rFonts w:ascii="微软雅黑" w:eastAsia="微软雅黑" w:hAnsi="微软雅黑" w:cs="微软雅黑" w:hint="eastAsia"/>
          <w:color w:val="000000"/>
          <w:kern w:val="0"/>
          <w:sz w:val="24"/>
          <w:szCs w:val="24"/>
        </w:rPr>
        <w:t>万元</w:t>
      </w:r>
      <w:r w:rsidRPr="002B42F8">
        <w:rPr>
          <w:rFonts w:ascii="微软雅黑" w:eastAsia="微软雅黑" w:hAnsi="微软雅黑" w:cs="宋体" w:hint="eastAsia"/>
          <w:color w:val="000000"/>
          <w:kern w:val="0"/>
          <w:sz w:val="24"/>
          <w:szCs w:val="24"/>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2B42F8">
        <w:rPr>
          <w:rFonts w:ascii="MS Gothic" w:eastAsia="MS Gothic" w:hAnsi="MS Gothic" w:cs="MS Gothic" w:hint="eastAsia"/>
          <w:color w:val="000000"/>
          <w:kern w:val="0"/>
          <w:sz w:val="24"/>
          <w:szCs w:val="24"/>
        </w:rPr>
        <w:t> </w:t>
      </w:r>
      <w:r w:rsidRPr="002B42F8">
        <w:rPr>
          <w:rFonts w:ascii="微软雅黑" w:eastAsia="微软雅黑" w:hAnsi="微软雅黑" w:cs="宋体" w:hint="eastAsia"/>
          <w:color w:val="000000"/>
          <w:kern w:val="0"/>
          <w:sz w:val="24"/>
          <w:szCs w:val="24"/>
        </w:rPr>
        <w:t>1</w:t>
      </w:r>
      <w:r w:rsidRPr="002B42F8">
        <w:rPr>
          <w:rFonts w:ascii="MS Gothic" w:eastAsia="MS Gothic" w:hAnsi="MS Gothic" w:cs="MS Gothic" w:hint="eastAsia"/>
          <w:color w:val="000000"/>
          <w:kern w:val="0"/>
          <w:sz w:val="24"/>
          <w:szCs w:val="24"/>
        </w:rPr>
        <w:t> </w:t>
      </w:r>
      <w:r w:rsidRPr="002B42F8">
        <w:rPr>
          <w:rFonts w:ascii="微软雅黑" w:eastAsia="微软雅黑" w:hAnsi="微软雅黑" w:cs="微软雅黑" w:hint="eastAsia"/>
          <w:color w:val="000000"/>
          <w:kern w:val="0"/>
          <w:sz w:val="24"/>
          <w:szCs w:val="24"/>
        </w:rPr>
        <w:t>年的应急管理项目、原创探索计划项目以及资助期限超过</w:t>
      </w:r>
      <w:r w:rsidRPr="002B42F8">
        <w:rPr>
          <w:rFonts w:ascii="MS Gothic" w:eastAsia="MS Gothic" w:hAnsi="MS Gothic" w:cs="MS Gothic" w:hint="eastAsia"/>
          <w:color w:val="000000"/>
          <w:kern w:val="0"/>
          <w:sz w:val="24"/>
          <w:szCs w:val="24"/>
        </w:rPr>
        <w:t> </w:t>
      </w:r>
      <w:r w:rsidRPr="002B42F8">
        <w:rPr>
          <w:rFonts w:ascii="微软雅黑" w:eastAsia="微软雅黑" w:hAnsi="微软雅黑" w:cs="宋体" w:hint="eastAsia"/>
          <w:color w:val="000000"/>
          <w:kern w:val="0"/>
          <w:sz w:val="24"/>
          <w:szCs w:val="24"/>
        </w:rPr>
        <w:t>1</w:t>
      </w:r>
      <w:r w:rsidRPr="002B42F8">
        <w:rPr>
          <w:rFonts w:ascii="MS Gothic" w:eastAsia="MS Gothic" w:hAnsi="MS Gothic" w:cs="MS Gothic" w:hint="eastAsia"/>
          <w:color w:val="000000"/>
          <w:kern w:val="0"/>
          <w:sz w:val="24"/>
          <w:szCs w:val="24"/>
        </w:rPr>
        <w:t> </w:t>
      </w:r>
      <w:r w:rsidRPr="002B42F8">
        <w:rPr>
          <w:rFonts w:ascii="微软雅黑" w:eastAsia="微软雅黑" w:hAnsi="微软雅黑" w:cs="微软雅黑" w:hint="eastAsia"/>
          <w:color w:val="000000"/>
          <w:kern w:val="0"/>
          <w:sz w:val="24"/>
          <w:szCs w:val="24"/>
        </w:rPr>
        <w:t>年的专项项目</w:t>
      </w:r>
      <w:r w:rsidRPr="002B42F8">
        <w:rPr>
          <w:rFonts w:ascii="微软雅黑" w:eastAsia="微软雅黑" w:hAnsi="微软雅黑" w:cs="宋体" w:hint="eastAsia"/>
          <w:color w:val="000000"/>
          <w:kern w:val="0"/>
          <w:sz w:val="24"/>
          <w:szCs w:val="24"/>
        </w:rPr>
        <w:t>[特殊说明的除外；应急管理项目中的局（室）委托任务及软课题研究项目、专项项目中的科技活动项目除外]。</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w:t>
      </w:r>
      <w:r w:rsidRPr="002B42F8">
        <w:rPr>
          <w:rFonts w:ascii="微软雅黑" w:eastAsia="微软雅黑" w:hAnsi="微软雅黑" w:cs="宋体" w:hint="eastAsia"/>
          <w:b/>
          <w:bCs/>
          <w:color w:val="000000"/>
          <w:kern w:val="0"/>
          <w:sz w:val="24"/>
          <w:szCs w:val="24"/>
        </w:rPr>
        <w:t>具有高级专业技术职务（职称）的人员作为主要参与者正在承担的2019年（含）以前批准资助的项目不计入申请和承担总数范围，2020年（含）以后申请（包括申请人和主要参与者）和批准（包括负责人和主要参与者）项目计入申请和承担总数范围。</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lastRenderedPageBreak/>
        <w:t xml:space="preserve">　　（2）不具有高级专业技术职务（职称）人员申请和承担项目总数：作为申请人申请和作为项目负责人正在承担的项目数合计限为</w:t>
      </w:r>
      <w:r w:rsidRPr="002B42F8">
        <w:rPr>
          <w:rFonts w:ascii="MS Gothic" w:eastAsia="MS Gothic" w:hAnsi="MS Gothic" w:cs="MS Gothic" w:hint="eastAsia"/>
          <w:color w:val="000000"/>
          <w:kern w:val="0"/>
          <w:sz w:val="24"/>
          <w:szCs w:val="24"/>
        </w:rPr>
        <w:t> </w:t>
      </w:r>
      <w:r w:rsidRPr="002B42F8">
        <w:rPr>
          <w:rFonts w:ascii="微软雅黑" w:eastAsia="微软雅黑" w:hAnsi="微软雅黑" w:cs="宋体" w:hint="eastAsia"/>
          <w:color w:val="000000"/>
          <w:kern w:val="0"/>
          <w:sz w:val="24"/>
          <w:szCs w:val="24"/>
        </w:rPr>
        <w:t>1</w:t>
      </w:r>
      <w:r w:rsidRPr="002B42F8">
        <w:rPr>
          <w:rFonts w:ascii="MS Gothic" w:eastAsia="MS Gothic" w:hAnsi="MS Gothic" w:cs="MS Gothic" w:hint="eastAsia"/>
          <w:color w:val="000000"/>
          <w:kern w:val="0"/>
          <w:sz w:val="24"/>
          <w:szCs w:val="24"/>
        </w:rPr>
        <w:t> </w:t>
      </w:r>
      <w:r w:rsidRPr="002B42F8">
        <w:rPr>
          <w:rFonts w:ascii="微软雅黑" w:eastAsia="微软雅黑" w:hAnsi="微软雅黑" w:cs="微软雅黑" w:hint="eastAsia"/>
          <w:color w:val="000000"/>
          <w:kern w:val="0"/>
          <w:sz w:val="24"/>
          <w:szCs w:val="24"/>
        </w:rPr>
        <w:t>项；</w:t>
      </w:r>
      <w:r w:rsidRPr="002B42F8">
        <w:rPr>
          <w:rFonts w:ascii="微软雅黑" w:eastAsia="微软雅黑" w:hAnsi="微软雅黑"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3. 计入申请和承担项目总数的部分项目类型的特殊要求。</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申请或参与申请重大项目。</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（3）国家重大科研仪器研制项目（部门推荐）获得资助后，项目负责人在准予结题前不得作为申请人申请重大项目。</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（4）原创探索计划项目从预申请开始直到自然科学基金委作出资助与否决定之前，不计入申请和承担总数范围；获资助后计入申请和承担总数范围。</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（四）申请注意事项。</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申请人在填写重大项目申请书（项目申请书或课题申请书）时，应当根据要解决的关键科学问题和研究内容，选择科学问题属性，并在申请书中阐明选择该科学问题属性的理由。申请项目具有多重科学问题属性的，申请人应当选择最相符、最侧重、最能体现申请项目特点的一类科学问题属性。</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lastRenderedPageBreak/>
        <w:t xml:space="preserve">　　1.本重大项目纳入2020年度集中接收申请范围，试行无纸化申请。2020年度项目申请集中接收截止时间为4月20日16时。</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2.重大项目申请书（项目申请书或课题申请书）采取在线方式撰写，对申请人具体要求如下：</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（1）申请人在填报申请书前，应当认真阅读本项目指南和《2020年度国家自然科学基金项目指南》中的相关内容，不符合项目指南和相关要求的项目申请不予受理。</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（2）申请人登陆科学基金网络信息系统https://isisn.nsfc.gov.cn/（以下简称信息系统，没有信息系统账号的申请人请向依托单位基金管理联系人申请开户），按照撰写提纲及相关要求撰写申请书。</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（3）重大项目的项目申请人应在信息系统中首先填写“项目申请书”，然后给该重大项目课题申请人赋予课题的申请权限，未经赋权的课题申请人将无法提交申请。</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4）申请书的资助类别选择“重大项目”，亚类说明选择“项目申请书”或“课题申请书”，附注说明选择“重大疫情的环境安全与次生风险防控”，申请代码1选择E10，以上选择不准确或未选择的项目申请将不予受理。</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5）申请人应当按照重大项目申请书（项目申请书或课题申请书）的撰写提纲撰写申请书，如果申请人已经承担与所申请重大项目相关的其他科技计划项目，应当在报告正文的“研究基础”部分说明本申请项目与其他相关项目的区别与联系。</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lastRenderedPageBreak/>
        <w:t xml:space="preserve">　　项目申请书中的主要参与者只填写各课题申请人相关信息；签字和盖章页中依托单位公章应加盖项目申请人所属依托单位公章，合作研究单位公章应加盖课题申请人所属依托单位公章。</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课题申请书中的主要参与者包括课题所有主要成员相关信息。签字和盖章页中依托单位公章,应加盖课题申请人所属依托单位公章；签字和盖章页中合作研究单位公章,若已经在自然科学基金委注册的合作研究单位，应加盖依托单位公章；没有注册的合作研究单位，应加盖该法人单位公章。</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6）重大项目实行成本补偿的资助方式，自然科学基金委将组织专家对建议资助项目进行资金预算专项评审。申请人应当认真阅读《2020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成本补偿）》《预算说明书（成本补偿）》《合作研究资金预算明细表（成本补偿）》《设备费预算明细表（成本补偿）》《测试化验加工费预算明细表（成本补偿）》《劳务费预算明细表（成本补偿）》。</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7）申请人完成申请书撰写后，在线提交电子申请书及附件材料。项目申请书和课题申请书应当通过各自的依托单位提交。其中课题申请书必须先于项目申请书提交，项目申请书待全部课题申请书提交完毕并确认生成项目总预算表无误后再行提交。 </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lastRenderedPageBreak/>
        <w:t xml:space="preserve">　　3.依托单位应对本单位申请人所提交申请材料的真实性、完整性和合规性进行审核；对申请人申报预算的目标相关性、政策相符性和经济合理性进行审核。具体要求如下：</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4.本重大项目咨询方式：</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国家自然科学基金委员会工程与材料科学部</w:t>
      </w:r>
    </w:p>
    <w:p w:rsidR="002B42F8" w:rsidRPr="002B42F8" w:rsidRDefault="002B42F8" w:rsidP="002B42F8">
      <w:pPr>
        <w:widowControl/>
        <w:shd w:val="clear" w:color="auto" w:fill="FFFFFF"/>
        <w:spacing w:line="608" w:lineRule="atLeast"/>
        <w:rPr>
          <w:rFonts w:ascii="微软雅黑" w:eastAsia="微软雅黑" w:hAnsi="微软雅黑" w:cs="宋体" w:hint="eastAsia"/>
          <w:color w:val="000000"/>
          <w:kern w:val="0"/>
          <w:sz w:val="24"/>
          <w:szCs w:val="24"/>
        </w:rPr>
      </w:pPr>
      <w:r w:rsidRPr="002B42F8">
        <w:rPr>
          <w:rFonts w:ascii="微软雅黑" w:eastAsia="微软雅黑" w:hAnsi="微软雅黑" w:cs="宋体" w:hint="eastAsia"/>
          <w:color w:val="000000"/>
          <w:kern w:val="0"/>
          <w:sz w:val="24"/>
          <w:szCs w:val="24"/>
        </w:rPr>
        <w:t xml:space="preserve">　　联系电话：010-62328362</w:t>
      </w:r>
    </w:p>
    <w:p w:rsidR="00ED4106" w:rsidRDefault="00ED4106"/>
    <w:sectPr w:rsidR="00ED41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106" w:rsidRDefault="00ED4106" w:rsidP="002B42F8">
      <w:r>
        <w:separator/>
      </w:r>
    </w:p>
  </w:endnote>
  <w:endnote w:type="continuationSeparator" w:id="1">
    <w:p w:rsidR="00ED4106" w:rsidRDefault="00ED4106" w:rsidP="002B42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106" w:rsidRDefault="00ED4106" w:rsidP="002B42F8">
      <w:r>
        <w:separator/>
      </w:r>
    </w:p>
  </w:footnote>
  <w:footnote w:type="continuationSeparator" w:id="1">
    <w:p w:rsidR="00ED4106" w:rsidRDefault="00ED4106" w:rsidP="002B4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2F8"/>
    <w:rsid w:val="002B42F8"/>
    <w:rsid w:val="003972A2"/>
    <w:rsid w:val="00ED4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B42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4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42F8"/>
    <w:rPr>
      <w:sz w:val="18"/>
      <w:szCs w:val="18"/>
    </w:rPr>
  </w:style>
  <w:style w:type="paragraph" w:styleId="a4">
    <w:name w:val="footer"/>
    <w:basedOn w:val="a"/>
    <w:link w:val="Char0"/>
    <w:uiPriority w:val="99"/>
    <w:semiHidden/>
    <w:unhideWhenUsed/>
    <w:rsid w:val="002B42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42F8"/>
    <w:rPr>
      <w:sz w:val="18"/>
      <w:szCs w:val="18"/>
    </w:rPr>
  </w:style>
  <w:style w:type="character" w:customStyle="1" w:styleId="1Char">
    <w:name w:val="标题 1 Char"/>
    <w:basedOn w:val="a0"/>
    <w:link w:val="1"/>
    <w:uiPriority w:val="9"/>
    <w:rsid w:val="002B42F8"/>
    <w:rPr>
      <w:rFonts w:ascii="宋体" w:eastAsia="宋体" w:hAnsi="宋体" w:cs="宋体"/>
      <w:b/>
      <w:bCs/>
      <w:kern w:val="36"/>
      <w:sz w:val="48"/>
      <w:szCs w:val="48"/>
    </w:rPr>
  </w:style>
  <w:style w:type="character" w:styleId="a5">
    <w:name w:val="Hyperlink"/>
    <w:basedOn w:val="a0"/>
    <w:uiPriority w:val="99"/>
    <w:semiHidden/>
    <w:unhideWhenUsed/>
    <w:rsid w:val="002B42F8"/>
    <w:rPr>
      <w:color w:val="0000FF"/>
      <w:u w:val="single"/>
    </w:rPr>
  </w:style>
  <w:style w:type="character" w:customStyle="1" w:styleId="normal105">
    <w:name w:val="normal105"/>
    <w:basedOn w:val="a0"/>
    <w:rsid w:val="002B42F8"/>
  </w:style>
  <w:style w:type="paragraph" w:styleId="a6">
    <w:name w:val="Normal (Web)"/>
    <w:basedOn w:val="a"/>
    <w:uiPriority w:val="99"/>
    <w:semiHidden/>
    <w:unhideWhenUsed/>
    <w:rsid w:val="002B42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7637404">
      <w:bodyDiv w:val="1"/>
      <w:marLeft w:val="0"/>
      <w:marRight w:val="0"/>
      <w:marTop w:val="0"/>
      <w:marBottom w:val="0"/>
      <w:divBdr>
        <w:top w:val="none" w:sz="0" w:space="0" w:color="auto"/>
        <w:left w:val="none" w:sz="0" w:space="0" w:color="auto"/>
        <w:bottom w:val="none" w:sz="0" w:space="0" w:color="auto"/>
        <w:right w:val="none" w:sz="0" w:space="0" w:color="auto"/>
      </w:divBdr>
      <w:divsChild>
        <w:div w:id="38433088">
          <w:marLeft w:val="0"/>
          <w:marRight w:val="0"/>
          <w:marTop w:val="0"/>
          <w:marBottom w:val="0"/>
          <w:divBdr>
            <w:top w:val="single" w:sz="8" w:space="0" w:color="999999"/>
            <w:left w:val="none" w:sz="0" w:space="0" w:color="auto"/>
            <w:bottom w:val="single" w:sz="8"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3</cp:revision>
  <dcterms:created xsi:type="dcterms:W3CDTF">2020-03-12T01:59:00Z</dcterms:created>
  <dcterms:modified xsi:type="dcterms:W3CDTF">2020-03-12T02:00:00Z</dcterms:modified>
</cp:coreProperties>
</file>