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jc w:val="center"/>
        <w:outlineLvl w:val="0"/>
        <w:rPr>
          <w:rFonts w:eastAsia="方正小标宋_GBK"/>
          <w:color w:val="000000"/>
          <w:sz w:val="44"/>
          <w:szCs w:val="44"/>
        </w:rPr>
      </w:pPr>
      <w:bookmarkStart w:id="0" w:name="_Toc530473016"/>
      <w:r>
        <w:rPr>
          <w:rFonts w:eastAsia="方正小标宋_GBK"/>
          <w:color w:val="000000"/>
          <w:sz w:val="44"/>
          <w:szCs w:val="44"/>
        </w:rPr>
        <w:t>安徽省</w:t>
      </w:r>
      <w:r>
        <w:rPr>
          <w:rFonts w:hint="eastAsia" w:ascii="方正小标宋_GBK" w:hAnsi="黑体" w:eastAsia="方正小标宋_GBK" w:cs="黑体"/>
          <w:sz w:val="44"/>
          <w:szCs w:val="44"/>
        </w:rPr>
        <w:t>科技进步奖</w:t>
      </w:r>
      <w:r>
        <w:rPr>
          <w:rFonts w:eastAsia="方正小标宋_GBK"/>
          <w:color w:val="000000"/>
          <w:sz w:val="44"/>
          <w:szCs w:val="44"/>
        </w:rPr>
        <w:t>提名项目公示内容</w:t>
      </w:r>
      <w:bookmarkEnd w:id="0"/>
    </w:p>
    <w:p>
      <w:pPr>
        <w:spacing w:line="600" w:lineRule="exact"/>
        <w:jc w:val="center"/>
        <w:rPr>
          <w:rFonts w:ascii="方正小标宋_GBK" w:hAnsi="黑体" w:eastAsia="方正小标宋_GBK" w:cs="黑体"/>
          <w:sz w:val="44"/>
          <w:szCs w:val="44"/>
        </w:rPr>
      </w:pPr>
      <w:r>
        <w:rPr>
          <w:rFonts w:eastAsia="楷体_GB2312"/>
          <w:b/>
          <w:bCs/>
          <w:color w:val="000000"/>
          <w:sz w:val="32"/>
          <w:szCs w:val="32"/>
        </w:rPr>
        <w:t>（</w:t>
      </w:r>
      <w:r>
        <w:rPr>
          <w:rFonts w:eastAsia="楷体_GB2312"/>
          <w:b/>
          <w:color w:val="000000"/>
          <w:sz w:val="32"/>
          <w:szCs w:val="32"/>
        </w:rPr>
        <w:t>2019</w:t>
      </w:r>
      <w:r>
        <w:rPr>
          <w:rFonts w:eastAsia="楷体_GB2312"/>
          <w:b/>
          <w:bCs/>
          <w:color w:val="000000"/>
          <w:sz w:val="32"/>
          <w:szCs w:val="32"/>
        </w:rPr>
        <w:t>年度）</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（一）项目名称</w:t>
      </w:r>
    </w:p>
    <w:p>
      <w:pPr>
        <w:snapToGrid w:val="0"/>
        <w:spacing w:line="600" w:lineRule="exact"/>
        <w:ind w:firstLine="640" w:firstLineChars="200"/>
        <w:rPr>
          <w:rFonts w:ascii="仿宋_GB2312" w:hAnsi="宋体" w:eastAsia="仿宋_GB2312" w:cs="Times New Roman"/>
          <w:sz w:val="32"/>
          <w:szCs w:val="32"/>
        </w:rPr>
      </w:pPr>
      <w:r>
        <w:rPr>
          <w:rFonts w:hint="eastAsia" w:ascii="仿宋_GB2312" w:hAnsi="宋体" w:eastAsia="仿宋_GB2312" w:cs="Times New Roman"/>
          <w:sz w:val="32"/>
          <w:szCs w:val="32"/>
        </w:rPr>
        <w:t>三相射流灭火技术在消防装备上的应用</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（二）提名意见</w:t>
      </w:r>
    </w:p>
    <w:p>
      <w:pPr>
        <w:snapToGrid w:val="0"/>
        <w:spacing w:line="600" w:lineRule="exact"/>
        <w:ind w:firstLine="640" w:firstLineChars="200"/>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本项目是明光浩淼安防科技股份公司和安徽工程大学合作完成的项目，</w:t>
      </w:r>
      <w:bookmarkStart w:id="2" w:name="_GoBack"/>
      <w:bookmarkEnd w:id="2"/>
      <w:r>
        <w:rPr>
          <w:rFonts w:hint="eastAsia" w:ascii="仿宋_GB2312" w:hAnsi="宋体" w:eastAsia="仿宋_GB2312" w:cs="Times New Roman"/>
          <w:sz w:val="32"/>
          <w:szCs w:val="32"/>
          <w:lang w:val="en-US" w:eastAsia="zh-CN"/>
        </w:rPr>
        <w:t>通过研究三相射流喷射技术，设计了三相射流灭火装置，投入生产线，开发了三相射流消防车，通过1000m3油罐灭火实验，实验验证了三相射流技术的灭火优势。项目研究成果三相射流消防车得到了有关单位的认可和好评，近三年来，三相射流消防车产品已实现销售车辆17台，销售金额6295万元。实现了三相射流灭火技术的市场推广。该项目取得发明专利4项、实用新型专利5项。</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rPr>
        <w:t>本项目第一、第二完成单位发挥各自优势，形成有机产学研合作模式</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在项目的研发中明光浩淼安防科技股份公司承担主要完成单位，详细制定研究计划和路线，加强项目过程管理，建立项目分级管理、周例会和月例会等制度，定期开展任务执行情况、人员和经费投入情况的跟踪检查工作，确保研究工作的高效开展。负责三相射流灭火装置、三项射流消防车的研究，设计了多项灭火剂管路装置和输送系统，解决了喷射性能与动力匹配问题，获得了多项国家专利，投产了三相射流消防车的生产线，已开发了奔驰三相射流消防车、25米三相射流消防车和36米三相射流消防车产品；开展了三相射流消防车的应用推广，在石油石化企业和消防部队得到较好的应用。</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安徽工程大学主要是研发三相射流喷射灭火装置中细水雾控制系统，该系统以消防车为载体，实现了消防车超细水雾控制系统的应用创新，包括：</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1）嵌入式超细水雾消防车智能控制系统的构架。由于消防车系统要求具有高安全性和高可靠性的特殊要求，构架智能控制系统需要考虑各种特殊的环境条件和使用因素，系统设计需要结合实战经验和现有技术条件综合考虑。首先是系统的操控方便性，采用一键式控制方式，减少消防员的现场操作，提高消防员的工作效率，同时也增强了消防车灭火性能和操控的安全性。</w:t>
      </w:r>
    </w:p>
    <w:p>
      <w:pPr>
        <w:snapToGrid w:val="0"/>
        <w:spacing w:line="600" w:lineRule="exact"/>
        <w:ind w:firstLine="640" w:firstLineChars="200"/>
        <w:rPr>
          <w:rFonts w:ascii="仿宋_GB2312" w:hAnsi="宋体" w:eastAsia="仿宋_GB2312" w:cs="Times New Roman"/>
          <w:sz w:val="32"/>
          <w:szCs w:val="32"/>
        </w:rPr>
      </w:pPr>
      <w:r>
        <w:rPr>
          <w:rFonts w:hint="eastAsia" w:ascii="仿宋_GB2312" w:hAnsi="宋体" w:eastAsia="仿宋_GB2312" w:cs="Times New Roman"/>
          <w:sz w:val="32"/>
          <w:szCs w:val="32"/>
          <w:lang w:eastAsia="zh-CN"/>
        </w:rPr>
        <w:t>2）超细水雾消防车控制器样机研制。消防车智能控制器是软硬件结合在一起的，因此需要采用统一设计方法，对系统的软件/硬件进行合理的分析与划分，从而使系统的整体性能、功耗、稳定性达到最优；</w:t>
      </w:r>
      <w:r>
        <w:rPr>
          <w:rFonts w:hint="eastAsia" w:ascii="仿宋_GB2312" w:hAnsi="宋体" w:eastAsia="仿宋_GB2312" w:cs="Times New Roman"/>
          <w:sz w:val="32"/>
          <w:szCs w:val="32"/>
        </w:rPr>
        <w:t>为推动行业科技进步和可持续发展发挥了重要作用，走出了我国</w:t>
      </w:r>
      <w:r>
        <w:rPr>
          <w:rFonts w:hint="eastAsia" w:ascii="仿宋_GB2312" w:hAnsi="宋体" w:eastAsia="仿宋_GB2312" w:cs="Times New Roman"/>
          <w:sz w:val="32"/>
          <w:szCs w:val="32"/>
          <w:lang w:eastAsia="zh-CN"/>
        </w:rPr>
        <w:t>消防车</w:t>
      </w:r>
      <w:r>
        <w:rPr>
          <w:rFonts w:hint="eastAsia" w:ascii="仿宋_GB2312" w:hAnsi="宋体" w:eastAsia="仿宋_GB2312" w:cs="Times New Roman"/>
          <w:sz w:val="32"/>
          <w:szCs w:val="32"/>
        </w:rPr>
        <w:t>行业的自主创新发展之路，取得了突出的经济效益与社会效益。</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（三）项目简介</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1、项目概述</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目前的消防设备能够满足城市住宅需求，但是对于易燃易爆、易中毒、易腐蚀等火灾情况不能有效解决。在发生重特大火灾时，传统的灭火设备控火时间长、灭火速度慢、抗复燃效果不好，不能对火灾种类进行针对性的灭火，不仅造成了人员伤亡大、经济损失，还在一定程度上浪费了灭火材料，这对生命安全造成了严重的威胁。因此急需研发一种消防灭火设备，能够针对火灾情况进行选择合适的灭火剂及灭火方式进行快速灭火。三相射流技术是一种集多种新型高效灭火剂优点于一体的新型灭火技术,对油类火灾的灭火效果尤其突出。将三相射流灭火技术应用在消防设备上可以实现将不同种类的灭火剂之间的优势互补，提高灭火效率。本项目研究成果在实际场景中已经应用，且灭火效果良好。</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2、项目主要技术内容</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1）三相射流灭火技术是利用水或水与抗复燃灭火剂以自由紊动射流方式将超细粉环形包裹于中间通过环形喷射装置喷射到燃烧区，到达燃烧区后，超细粉从射流中分离，同时实现超细粉远距离喷射以及抗复燃灭火剂的强冷却作用，使燃烧终止的灭火技术。由气相（高压氮气）、液相（水及抗复燃灭火剂混合液）、固相（超细粉）三种射流组成。</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（2）三相射流灭火装置，包括灭火介质的存储装置，管路系统，总混合器及气管动力源系统，比例混合器及调试器、水炮及控制系统。研发与主战车配套的后援装备，包括供水、供液、供气、供粉移动式装备。</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3）三相射流技术在消防技术装备上应用，可实现消防装备的射流转换：可实现单相射流，也可实现双相射流，又可实现三相射流。本装置的工作状态可以为多种，因此可根据不同的火灾类型选择使用不同种类的灭火剂或灭火剂组合，具有广谱灭火作业，且大大提高了灭火效率，特别使用于A、B、C、D、E、F类火灾；采用多管路输送灭火介质；各管路均可调控灭火介质的流量、流速及压力，灭火剂用量少，灭火速度快，灭火后抗复燃效果好，环保。主要解决石油化工、煤业工生产装置及石化大型仓储罐区火灾。</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3、授权专利情况</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申请并授权发明专利5项：（ZL201610038475.X车载高噴多剂联用喷射灭火装置、ZL201410038375.7多剂联用中心回转体装置、ZL201410038366.8伸缩式粉剂输送管装置、ZL201410038470.7粉剂储罐内的粉剂沸腾装置、ZL201010227551.3车载超细水雾三相射流自动控制系统）。</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申请并授权实用新型专利7项：（ZL200820161871.1三相射流喷射灭火装置、ZL201520100630.6多剂炮管灭火装置、ZL201120016865.9车载高喷复合灭火剂喷射灭火装置、ZL201220057049.7复合射流用转发分配器、ZL201220057036.X复合射流用伸缩式输送粉管装置、ZL200920172620.8汽车电子油门控制器、ZL201020188596.X消防车恒压控制装置）</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4、技术经济指标</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近三年来，该项目共新增销售额7021万元，新增利润额849万元，新增税收572万元。</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5、应用推广及效益情况</w:t>
      </w:r>
    </w:p>
    <w:p>
      <w:pPr>
        <w:snapToGrid w:val="0"/>
        <w:spacing w:line="600" w:lineRule="exact"/>
        <w:ind w:firstLine="640" w:firstLineChars="200"/>
        <w:rPr>
          <w:rFonts w:ascii="仿宋_GB2312" w:hAnsi="宋体" w:eastAsia="仿宋_GB2312" w:cs="Times New Roman"/>
          <w:sz w:val="32"/>
          <w:szCs w:val="32"/>
        </w:rPr>
      </w:pPr>
      <w:r>
        <w:rPr>
          <w:rFonts w:hint="eastAsia" w:ascii="仿宋_GB2312" w:hAnsi="宋体" w:eastAsia="仿宋_GB2312" w:cs="Times New Roman"/>
          <w:sz w:val="32"/>
          <w:szCs w:val="32"/>
        </w:rPr>
        <w:t>本项目研究成果已推广应用，目前已开发了奔驰三相射流消防车、25米三相射流消防车和36米三相射流消防车。三相射流消防车现已在中油、中化、神化集团等大型企业专职消防队及部分公安消防部队推广使用。</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（四）客观评价</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三相射流消防车的投产应用填补了我国消防装备的一项空白，技术领先，综合效能高。多剂联用、一车多能、便于战斗编程的快速实施和技战术方法的随机变换。可以避免消防部队灭火装备的重复配置，降低战斗人员和财力的支出。是应对石油化工、大型储罐、危险化学品等复杂灾情的应急处置利器，适合装备现役消防部队和专兼职消防队伍，具有广泛推广价值和应用价值。同时该项目已申报多项国家专利技术，其中包括4项发明专利，5项实用新型专利。并通过了国家部门的技术检测报告，及由国家一级科技查新单位提供的查新报告。</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1、查新报告结论：本查新项目研究三相射流灭火技术并应用于消防技术装备上，工作状态可以为多种；可根据不同的火灾类型选择使用不同种类的灭火剂或灭剂组合；具有广谱灭火作业，且大大提高了灭火效率，特别使用于A、B、C、D、E、F类火灾；采用多管路输送灭火介质；各管路均可调控灭火介质的流量、流速及压力。在所查国内文献中未见提及完全相同内容的报道。</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2、检测报告结论:(1)整车的安全和法规性能符合国家标准和规范的要求，整车基本性能参数达到设计任务书的要求。</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（2）样车的消防性能符合企业标准的要求。</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（3）整车的总体布置设计和总成设计基本合理。</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（4）样车的底盘和消防部件的联接可靠，消防零部件的制造和装配的质量符合企标的要求。</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（5）样车的使用、维修方便性尚可。</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3、授权5项发明专利</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（1）车载高噴多剂联用喷射灭火装置；（发明专利号：ZL201610038475.X）</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（2）多剂联用中心回转体装置；（发明专利号：ZL201410038375.7）</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（3）伸缩式粉剂输送管装置；（发明专利号：ZL201410038366.8）</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（4）粉剂储罐内的粉剂沸腾装置；（发明专利号：ZL201410038470.7）</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（5）车载超细水雾三相射流自动控制系统；（专利号：ZL201010227551.3）</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授权7项使用新型专利</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（1）三相射流喷射灭火装置；（专利号：ZL200820161871.1）</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（2）多剂炮管灭火装置；（专利号：ZL201520100630.6）</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（3）复合射流用转发分配器；（专利号：ZL201220057049.7）</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（4）复合射流用伸缩式输送粉管装置；（专利号：ZL201220057036.X）</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 xml:space="preserve">（5）车载高喷复合灭火剂喷射灭火装置；（专利号：ZL201120016865.9） </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（6）汽车电子油门控制器；（专利号：ZL200920172620.8）</w:t>
      </w:r>
    </w:p>
    <w:p>
      <w:pPr>
        <w:snapToGrid w:val="0"/>
        <w:spacing w:line="600" w:lineRule="exact"/>
        <w:ind w:firstLine="640" w:firstLineChars="200"/>
        <w:rPr>
          <w:rFonts w:ascii="仿宋_GB2312" w:hAnsi="宋体" w:eastAsia="仿宋_GB2312" w:cs="Times New Roman"/>
          <w:sz w:val="32"/>
          <w:szCs w:val="32"/>
        </w:rPr>
      </w:pPr>
      <w:r>
        <w:rPr>
          <w:rFonts w:hint="eastAsia" w:ascii="仿宋_GB2312" w:hAnsi="宋体" w:eastAsia="仿宋_GB2312" w:cs="Times New Roman"/>
          <w:sz w:val="32"/>
          <w:szCs w:val="32"/>
        </w:rPr>
        <w:t>（7）消防车恒压控制装置；（专利号：ZL201020188596.X）</w:t>
      </w:r>
    </w:p>
    <w:p>
      <w:pPr>
        <w:spacing w:line="600" w:lineRule="exact"/>
        <w:rPr>
          <w:rFonts w:ascii="黑体" w:hAnsi="黑体" w:eastAsia="黑体" w:cs="Times New Roman"/>
          <w:sz w:val="32"/>
          <w:szCs w:val="32"/>
        </w:rPr>
      </w:pPr>
      <w:r>
        <w:rPr>
          <w:rFonts w:hint="eastAsia" w:ascii="黑体" w:hAnsi="黑体" w:eastAsia="黑体" w:cs="Times New Roman"/>
          <w:sz w:val="32"/>
          <w:szCs w:val="32"/>
        </w:rPr>
        <w:t>（五）应用情况和效益</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目前，三相射流消防车已经推广应用，目前已开发了奔驰三相射流消防车、25米三相射流消防车和36米三相射流消防车。三相射流消防车现已在中油、中化、神化集团等大型企业专职消防队及部分公安消防部队推广使用</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所售消防车均获得用户好评。近三年来，三相射流消防车产品已实现销售车辆</w:t>
      </w:r>
      <w:r>
        <w:rPr>
          <w:rFonts w:hint="eastAsia" w:ascii="仿宋_GB2312" w:hAnsi="宋体" w:eastAsia="仿宋_GB2312" w:cs="Times New Roman"/>
          <w:sz w:val="32"/>
          <w:szCs w:val="32"/>
          <w:lang w:val="en-US" w:eastAsia="zh-CN"/>
        </w:rPr>
        <w:t>20</w:t>
      </w:r>
      <w:r>
        <w:rPr>
          <w:rFonts w:hint="eastAsia" w:ascii="仿宋_GB2312" w:hAnsi="宋体" w:eastAsia="仿宋_GB2312" w:cs="Times New Roman"/>
          <w:sz w:val="32"/>
          <w:szCs w:val="32"/>
        </w:rPr>
        <w:t>台，销售金额</w:t>
      </w:r>
      <w:r>
        <w:rPr>
          <w:rFonts w:hint="eastAsia" w:ascii="仿宋_GB2312" w:hAnsi="宋体" w:eastAsia="仿宋_GB2312" w:cs="Times New Roman"/>
          <w:sz w:val="32"/>
          <w:szCs w:val="32"/>
          <w:lang w:val="en-US" w:eastAsia="zh-CN"/>
        </w:rPr>
        <w:t>7021</w:t>
      </w:r>
      <w:r>
        <w:rPr>
          <w:rFonts w:hint="eastAsia" w:ascii="仿宋_GB2312" w:hAnsi="宋体" w:eastAsia="仿宋_GB2312" w:cs="Times New Roman"/>
          <w:sz w:val="32"/>
          <w:szCs w:val="32"/>
        </w:rPr>
        <w:t>万元</w:t>
      </w:r>
      <w:r>
        <w:rPr>
          <w:rFonts w:hint="eastAsia" w:ascii="仿宋_GB2312" w:hAnsi="宋体" w:eastAsia="仿宋_GB2312" w:cs="Times New Roman"/>
          <w:sz w:val="32"/>
          <w:szCs w:val="32"/>
          <w:lang w:eastAsia="zh-CN"/>
        </w:rPr>
        <w:t>。</w:t>
      </w:r>
    </w:p>
    <w:p>
      <w:pPr>
        <w:snapToGrid w:val="0"/>
        <w:spacing w:line="600" w:lineRule="exact"/>
        <w:ind w:firstLine="640" w:firstLineChars="200"/>
        <w:rPr>
          <w:rFonts w:hint="eastAsia" w:ascii="仿宋_GB2312" w:hAnsi="宋体" w:eastAsia="仿宋_GB2312" w:cs="Times New Roman"/>
          <w:sz w:val="32"/>
          <w:szCs w:val="32"/>
        </w:rPr>
      </w:pPr>
      <w:bookmarkStart w:id="1" w:name="_Toc28297"/>
      <w:r>
        <w:rPr>
          <w:rFonts w:hint="eastAsia" w:ascii="仿宋_GB2312" w:hAnsi="宋体" w:eastAsia="仿宋_GB2312" w:cs="Times New Roman"/>
          <w:sz w:val="32"/>
          <w:szCs w:val="32"/>
        </w:rPr>
        <w:t>经济效益</w:t>
      </w:r>
      <w:r>
        <w:rPr>
          <w:rFonts w:hint="eastAsia" w:ascii="仿宋_GB2312" w:hAnsi="宋体" w:eastAsia="仿宋_GB2312" w:cs="Times New Roman"/>
          <w:sz w:val="32"/>
          <w:szCs w:val="32"/>
          <w:lang w:eastAsia="zh-CN"/>
        </w:rPr>
        <w:t>及</w:t>
      </w:r>
      <w:r>
        <w:rPr>
          <w:rFonts w:hint="eastAsia" w:ascii="仿宋_GB2312" w:hAnsi="宋体" w:eastAsia="仿宋_GB2312" w:cs="Times New Roman"/>
          <w:sz w:val="32"/>
          <w:szCs w:val="32"/>
        </w:rPr>
        <w:t>社会效益</w:t>
      </w:r>
      <w:bookmarkEnd w:id="1"/>
    </w:p>
    <w:tbl>
      <w:tblPr>
        <w:tblStyle w:val="7"/>
        <w:tblW w:w="9185"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836"/>
        <w:gridCol w:w="1837"/>
        <w:gridCol w:w="1949"/>
        <w:gridCol w:w="17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9" w:hRule="atLeast"/>
          <w:jc w:val="center"/>
        </w:trPr>
        <w:tc>
          <w:tcPr>
            <w:tcW w:w="9185" w:type="dxa"/>
            <w:gridSpan w:val="5"/>
            <w:vAlign w:val="center"/>
          </w:tcPr>
          <w:p>
            <w:pPr>
              <w:pStyle w:val="3"/>
              <w:spacing w:line="390" w:lineRule="exact"/>
              <w:ind w:firstLine="0" w:firstLineChars="0"/>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 xml:space="preserve">经济效益                                   </w:t>
            </w:r>
            <w:r>
              <w:rPr>
                <w:rFonts w:hint="eastAsia" w:asciiTheme="minorEastAsia" w:hAnsiTheme="minorEastAsia" w:cstheme="minorEastAsia"/>
                <w:b w:val="0"/>
                <w:bCs/>
                <w:sz w:val="24"/>
                <w:szCs w:val="24"/>
                <w:lang w:val="en-US" w:eastAsia="zh-CN"/>
              </w:rPr>
              <w:t xml:space="preserve">     </w:t>
            </w:r>
            <w:r>
              <w:rPr>
                <w:rFonts w:hint="eastAsia" w:asciiTheme="minorEastAsia" w:hAnsiTheme="minorEastAsia" w:eastAsiaTheme="minorEastAsia" w:cstheme="minorEastAsia"/>
                <w:b w:val="0"/>
                <w:bCs/>
                <w:sz w:val="24"/>
                <w:szCs w:val="24"/>
              </w:rPr>
              <w:t>单位：万元人民币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67" w:hRule="exact"/>
          <w:jc w:val="center"/>
        </w:trPr>
        <w:tc>
          <w:tcPr>
            <w:tcW w:w="1836" w:type="dxa"/>
            <w:vAlign w:val="center"/>
          </w:tcPr>
          <w:p>
            <w:pPr>
              <w:pStyle w:val="3"/>
              <w:spacing w:line="390" w:lineRule="exact"/>
              <w:ind w:firstLine="0" w:firstLineChars="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项目总投资额</w:t>
            </w:r>
          </w:p>
        </w:tc>
        <w:tc>
          <w:tcPr>
            <w:tcW w:w="1836" w:type="dxa"/>
            <w:vAlign w:val="center"/>
          </w:tcPr>
          <w:p>
            <w:pPr>
              <w:pStyle w:val="3"/>
              <w:spacing w:line="390" w:lineRule="exact"/>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680</w:t>
            </w:r>
          </w:p>
        </w:tc>
        <w:tc>
          <w:tcPr>
            <w:tcW w:w="1837" w:type="dxa"/>
            <w:vAlign w:val="center"/>
          </w:tcPr>
          <w:p>
            <w:pPr>
              <w:pStyle w:val="3"/>
              <w:spacing w:line="390" w:lineRule="exact"/>
              <w:jc w:val="center"/>
              <w:rPr>
                <w:rFonts w:asciiTheme="minorEastAsia" w:hAnsiTheme="minorEastAsia" w:eastAsiaTheme="minorEastAsia" w:cstheme="minorEastAsia"/>
                <w:b w:val="0"/>
                <w:bCs/>
                <w:sz w:val="24"/>
                <w:szCs w:val="24"/>
              </w:rPr>
            </w:pPr>
          </w:p>
        </w:tc>
        <w:tc>
          <w:tcPr>
            <w:tcW w:w="1949" w:type="dxa"/>
            <w:vAlign w:val="center"/>
          </w:tcPr>
          <w:p>
            <w:pPr>
              <w:pStyle w:val="3"/>
              <w:spacing w:line="390" w:lineRule="exact"/>
              <w:ind w:firstLine="0" w:firstLineChars="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回收期（年）</w:t>
            </w:r>
          </w:p>
        </w:tc>
        <w:tc>
          <w:tcPr>
            <w:tcW w:w="1727" w:type="dxa"/>
            <w:vAlign w:val="center"/>
          </w:tcPr>
          <w:p>
            <w:pPr>
              <w:pStyle w:val="3"/>
              <w:spacing w:line="390" w:lineRule="exact"/>
              <w:ind w:firstLine="720" w:firstLineChars="300"/>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3</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1" w:hRule="atLeast"/>
          <w:jc w:val="center"/>
        </w:trPr>
        <w:tc>
          <w:tcPr>
            <w:tcW w:w="1836" w:type="dxa"/>
            <w:vAlign w:val="center"/>
          </w:tcPr>
          <w:p>
            <w:pPr>
              <w:pStyle w:val="3"/>
              <w:spacing w:line="390" w:lineRule="exact"/>
              <w:ind w:firstLine="0" w:firstLineChars="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年 份</w:t>
            </w:r>
          </w:p>
        </w:tc>
        <w:tc>
          <w:tcPr>
            <w:tcW w:w="1836" w:type="dxa"/>
            <w:vAlign w:val="center"/>
          </w:tcPr>
          <w:p>
            <w:pPr>
              <w:pStyle w:val="3"/>
              <w:spacing w:line="390" w:lineRule="exact"/>
              <w:ind w:firstLine="0" w:firstLineChars="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新增利润</w:t>
            </w:r>
          </w:p>
        </w:tc>
        <w:tc>
          <w:tcPr>
            <w:tcW w:w="1837" w:type="dxa"/>
            <w:vAlign w:val="center"/>
          </w:tcPr>
          <w:p>
            <w:pPr>
              <w:pStyle w:val="3"/>
              <w:spacing w:line="390" w:lineRule="exact"/>
              <w:ind w:firstLine="0" w:firstLineChars="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新增税收</w:t>
            </w:r>
          </w:p>
        </w:tc>
        <w:tc>
          <w:tcPr>
            <w:tcW w:w="1949" w:type="dxa"/>
            <w:vAlign w:val="center"/>
          </w:tcPr>
          <w:p>
            <w:pPr>
              <w:pStyle w:val="3"/>
              <w:spacing w:line="390" w:lineRule="exact"/>
              <w:ind w:firstLine="0" w:firstLineChars="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创收外汇（美元）</w:t>
            </w:r>
          </w:p>
        </w:tc>
        <w:tc>
          <w:tcPr>
            <w:tcW w:w="1727" w:type="dxa"/>
            <w:vAlign w:val="center"/>
          </w:tcPr>
          <w:p>
            <w:pPr>
              <w:pStyle w:val="3"/>
              <w:spacing w:line="390" w:lineRule="exact"/>
              <w:ind w:firstLine="0" w:firstLineChars="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节支总额</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836" w:type="dxa"/>
            <w:vAlign w:val="center"/>
          </w:tcPr>
          <w:p>
            <w:pPr>
              <w:pStyle w:val="3"/>
              <w:spacing w:line="390" w:lineRule="exact"/>
              <w:ind w:firstLine="480" w:firstLineChars="200"/>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2016</w:t>
            </w:r>
          </w:p>
        </w:tc>
        <w:tc>
          <w:tcPr>
            <w:tcW w:w="1836" w:type="dxa"/>
            <w:vAlign w:val="center"/>
          </w:tcPr>
          <w:p>
            <w:pPr>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color w:val="000000"/>
                <w:sz w:val="24"/>
                <w:szCs w:val="24"/>
              </w:rPr>
              <w:t>450</w:t>
            </w:r>
          </w:p>
        </w:tc>
        <w:tc>
          <w:tcPr>
            <w:tcW w:w="1837" w:type="dxa"/>
            <w:vAlign w:val="center"/>
          </w:tcPr>
          <w:p>
            <w:pPr>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color w:val="000000"/>
                <w:sz w:val="24"/>
                <w:szCs w:val="24"/>
              </w:rPr>
              <w:t>292</w:t>
            </w:r>
          </w:p>
        </w:tc>
        <w:tc>
          <w:tcPr>
            <w:tcW w:w="1949" w:type="dxa"/>
            <w:vAlign w:val="center"/>
          </w:tcPr>
          <w:p>
            <w:pPr>
              <w:pStyle w:val="3"/>
              <w:spacing w:line="390" w:lineRule="exact"/>
              <w:ind w:firstLine="480" w:firstLineChars="20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0</w:t>
            </w:r>
          </w:p>
        </w:tc>
        <w:tc>
          <w:tcPr>
            <w:tcW w:w="1727" w:type="dxa"/>
            <w:vAlign w:val="center"/>
          </w:tcPr>
          <w:p>
            <w:pPr>
              <w:pStyle w:val="3"/>
              <w:spacing w:line="390" w:lineRule="exact"/>
              <w:ind w:firstLine="480" w:firstLineChars="20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567</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836" w:type="dxa"/>
            <w:vAlign w:val="center"/>
          </w:tcPr>
          <w:p>
            <w:pPr>
              <w:pStyle w:val="3"/>
              <w:spacing w:line="390" w:lineRule="exact"/>
              <w:ind w:firstLine="480" w:firstLineChars="200"/>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2017</w:t>
            </w:r>
          </w:p>
        </w:tc>
        <w:tc>
          <w:tcPr>
            <w:tcW w:w="1836" w:type="dxa"/>
            <w:vAlign w:val="center"/>
          </w:tcPr>
          <w:p>
            <w:pPr>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color w:val="000000"/>
                <w:sz w:val="24"/>
                <w:szCs w:val="24"/>
                <w:lang w:val="en-US" w:eastAsia="zh-CN"/>
              </w:rPr>
              <w:t>204</w:t>
            </w:r>
          </w:p>
        </w:tc>
        <w:tc>
          <w:tcPr>
            <w:tcW w:w="1837" w:type="dxa"/>
            <w:vAlign w:val="center"/>
          </w:tcPr>
          <w:p>
            <w:pPr>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color w:val="000000"/>
                <w:sz w:val="24"/>
                <w:szCs w:val="24"/>
                <w:lang w:val="en-US" w:eastAsia="zh-CN"/>
              </w:rPr>
              <w:t>132</w:t>
            </w:r>
          </w:p>
        </w:tc>
        <w:tc>
          <w:tcPr>
            <w:tcW w:w="1949" w:type="dxa"/>
            <w:vAlign w:val="center"/>
          </w:tcPr>
          <w:p>
            <w:pPr>
              <w:pStyle w:val="3"/>
              <w:spacing w:line="390" w:lineRule="exact"/>
              <w:ind w:firstLine="480" w:firstLineChars="20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0</w:t>
            </w:r>
          </w:p>
        </w:tc>
        <w:tc>
          <w:tcPr>
            <w:tcW w:w="1727" w:type="dxa"/>
            <w:vAlign w:val="center"/>
          </w:tcPr>
          <w:p>
            <w:pPr>
              <w:pStyle w:val="3"/>
              <w:spacing w:line="390" w:lineRule="exact"/>
              <w:ind w:firstLine="480" w:firstLineChars="20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605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836" w:type="dxa"/>
            <w:vAlign w:val="center"/>
          </w:tcPr>
          <w:p>
            <w:pPr>
              <w:pStyle w:val="3"/>
              <w:spacing w:line="390" w:lineRule="exact"/>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cstheme="minorEastAsia"/>
                <w:b w:val="0"/>
                <w:bCs/>
                <w:sz w:val="24"/>
                <w:szCs w:val="24"/>
                <w:lang w:val="en-US" w:eastAsia="zh-CN"/>
              </w:rPr>
              <w:t>2018</w:t>
            </w:r>
          </w:p>
        </w:tc>
        <w:tc>
          <w:tcPr>
            <w:tcW w:w="1836" w:type="dxa"/>
            <w:vAlign w:val="center"/>
          </w:tcPr>
          <w:p>
            <w:pPr>
              <w:jc w:val="center"/>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cstheme="minorEastAsia"/>
                <w:b w:val="0"/>
                <w:bCs/>
                <w:sz w:val="24"/>
                <w:szCs w:val="24"/>
                <w:lang w:val="en-US" w:eastAsia="zh-CN"/>
              </w:rPr>
              <w:t>195</w:t>
            </w:r>
          </w:p>
        </w:tc>
        <w:tc>
          <w:tcPr>
            <w:tcW w:w="1837" w:type="dxa"/>
            <w:vAlign w:val="center"/>
          </w:tcPr>
          <w:p>
            <w:pPr>
              <w:jc w:val="center"/>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cstheme="minorEastAsia"/>
                <w:b w:val="0"/>
                <w:bCs/>
                <w:sz w:val="24"/>
                <w:szCs w:val="24"/>
                <w:lang w:val="en-US" w:eastAsia="zh-CN"/>
              </w:rPr>
              <w:t>148</w:t>
            </w:r>
          </w:p>
        </w:tc>
        <w:tc>
          <w:tcPr>
            <w:tcW w:w="1949" w:type="dxa"/>
            <w:vAlign w:val="center"/>
          </w:tcPr>
          <w:p>
            <w:pPr>
              <w:pStyle w:val="3"/>
              <w:spacing w:line="390" w:lineRule="exact"/>
              <w:jc w:val="center"/>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cstheme="minorEastAsia"/>
                <w:b w:val="0"/>
                <w:bCs/>
                <w:sz w:val="24"/>
                <w:szCs w:val="24"/>
                <w:lang w:val="en-US" w:eastAsia="zh-CN"/>
              </w:rPr>
              <w:t>0</w:t>
            </w:r>
          </w:p>
        </w:tc>
        <w:tc>
          <w:tcPr>
            <w:tcW w:w="1727" w:type="dxa"/>
            <w:vAlign w:val="center"/>
          </w:tcPr>
          <w:p>
            <w:pPr>
              <w:pStyle w:val="3"/>
              <w:spacing w:line="390" w:lineRule="exact"/>
              <w:jc w:val="center"/>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cstheme="minorEastAsia"/>
                <w:b w:val="0"/>
                <w:bCs/>
                <w:sz w:val="24"/>
                <w:szCs w:val="24"/>
                <w:lang w:val="en-US" w:eastAsia="zh-CN"/>
              </w:rPr>
              <w:t>580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737" w:hRule="exact"/>
          <w:jc w:val="center"/>
        </w:trPr>
        <w:tc>
          <w:tcPr>
            <w:tcW w:w="1836" w:type="dxa"/>
            <w:vAlign w:val="center"/>
          </w:tcPr>
          <w:p>
            <w:pPr>
              <w:pStyle w:val="3"/>
              <w:spacing w:line="390" w:lineRule="exact"/>
              <w:ind w:firstLine="0" w:firstLineChars="0"/>
              <w:jc w:val="center"/>
              <w:rPr>
                <w:rFonts w:asciiTheme="minorEastAsia" w:hAnsiTheme="minorEastAsia" w:eastAsiaTheme="minorEastAsia" w:cstheme="minorEastAsia"/>
                <w:b w:val="0"/>
                <w:bCs/>
                <w:sz w:val="24"/>
                <w:szCs w:val="24"/>
              </w:rPr>
            </w:pPr>
            <w:r>
              <w:rPr>
                <w:rFonts w:hint="eastAsia" w:asciiTheme="minorEastAsia" w:hAnsiTheme="minorEastAsia" w:eastAsiaTheme="minorEastAsia" w:cstheme="minorEastAsia"/>
                <w:b w:val="0"/>
                <w:bCs/>
                <w:sz w:val="24"/>
                <w:szCs w:val="24"/>
              </w:rPr>
              <w:t>累    计</w:t>
            </w:r>
          </w:p>
        </w:tc>
        <w:tc>
          <w:tcPr>
            <w:tcW w:w="1836" w:type="dxa"/>
            <w:vAlign w:val="center"/>
          </w:tcPr>
          <w:p>
            <w:pPr>
              <w:pStyle w:val="3"/>
              <w:spacing w:line="390" w:lineRule="exact"/>
              <w:ind w:firstLine="720" w:firstLineChars="300"/>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cstheme="minorEastAsia"/>
                <w:b w:val="0"/>
                <w:bCs/>
                <w:sz w:val="24"/>
                <w:szCs w:val="24"/>
                <w:lang w:val="en-US" w:eastAsia="zh-CN"/>
              </w:rPr>
              <w:t>849</w:t>
            </w:r>
          </w:p>
        </w:tc>
        <w:tc>
          <w:tcPr>
            <w:tcW w:w="1837" w:type="dxa"/>
            <w:vAlign w:val="center"/>
          </w:tcPr>
          <w:p>
            <w:pPr>
              <w:pStyle w:val="3"/>
              <w:spacing w:line="390" w:lineRule="exact"/>
              <w:ind w:firstLine="720" w:firstLineChars="300"/>
              <w:jc w:val="both"/>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cstheme="minorEastAsia"/>
                <w:b w:val="0"/>
                <w:bCs/>
                <w:sz w:val="24"/>
                <w:szCs w:val="24"/>
                <w:lang w:val="en-US" w:eastAsia="zh-CN"/>
              </w:rPr>
              <w:t>572</w:t>
            </w:r>
          </w:p>
        </w:tc>
        <w:tc>
          <w:tcPr>
            <w:tcW w:w="1949" w:type="dxa"/>
            <w:vAlign w:val="center"/>
          </w:tcPr>
          <w:p>
            <w:pPr>
              <w:pStyle w:val="3"/>
              <w:spacing w:line="390" w:lineRule="exact"/>
              <w:jc w:val="center"/>
              <w:rPr>
                <w:rFonts w:hint="eastAsia" w:asciiTheme="minorEastAsia" w:hAnsiTheme="minorEastAsia" w:eastAsiaTheme="minorEastAsia" w:cstheme="minorEastAsia"/>
                <w:b w:val="0"/>
                <w:bCs/>
                <w:sz w:val="24"/>
                <w:szCs w:val="24"/>
                <w:lang w:val="en-US" w:eastAsia="zh-CN"/>
              </w:rPr>
            </w:pPr>
            <w:r>
              <w:rPr>
                <w:rFonts w:hint="eastAsia" w:asciiTheme="minorEastAsia" w:hAnsiTheme="minorEastAsia" w:cstheme="minorEastAsia"/>
                <w:b w:val="0"/>
                <w:bCs/>
                <w:sz w:val="24"/>
                <w:szCs w:val="24"/>
                <w:lang w:val="en-US" w:eastAsia="zh-CN"/>
              </w:rPr>
              <w:t>0</w:t>
            </w:r>
          </w:p>
        </w:tc>
        <w:tc>
          <w:tcPr>
            <w:tcW w:w="1727" w:type="dxa"/>
            <w:vAlign w:val="center"/>
          </w:tcPr>
          <w:p>
            <w:pPr>
              <w:pStyle w:val="3"/>
              <w:spacing w:line="390" w:lineRule="exact"/>
              <w:jc w:val="center"/>
              <w:rPr>
                <w:rFonts w:hint="default" w:asciiTheme="minorEastAsia" w:hAnsiTheme="minorEastAsia" w:eastAsiaTheme="minorEastAsia" w:cstheme="minorEastAsia"/>
                <w:b w:val="0"/>
                <w:bCs/>
                <w:sz w:val="24"/>
                <w:szCs w:val="24"/>
                <w:lang w:val="en-US" w:eastAsia="zh-CN"/>
              </w:rPr>
            </w:pPr>
            <w:r>
              <w:rPr>
                <w:rFonts w:hint="eastAsia" w:asciiTheme="minorEastAsia" w:hAnsiTheme="minorEastAsia" w:cstheme="minorEastAsia"/>
                <w:b w:val="0"/>
                <w:bCs/>
                <w:sz w:val="24"/>
                <w:szCs w:val="24"/>
                <w:lang w:val="en-US" w:eastAsia="zh-CN"/>
              </w:rPr>
              <w:t>1752</w:t>
            </w:r>
          </w:p>
        </w:tc>
      </w:tr>
    </w:tbl>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各栏目的计算依据：</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2016年</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1、新增利润</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2016年收入30180万元，三项射流新增收入3211万元，利润总额4226万元，利润率=14..00% ，新增利润=3221*.14=450万元；</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2、新增税收</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2016年收入30180万元，三项射流新增收入3211万元，已经税金=2741万元，税收负担率=9.08%，新增税收=292万元；</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2017年</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1、新增利润</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2017年收入31960万元，三项射流收入</w:t>
      </w:r>
      <w:r>
        <w:rPr>
          <w:rFonts w:hint="eastAsia" w:ascii="仿宋_GB2312" w:hAnsi="宋体" w:eastAsia="仿宋_GB2312" w:cs="Times New Roman"/>
          <w:sz w:val="32"/>
          <w:szCs w:val="32"/>
          <w:lang w:val="en-US" w:eastAsia="zh-CN"/>
        </w:rPr>
        <w:t>1500</w:t>
      </w:r>
      <w:r>
        <w:rPr>
          <w:rFonts w:hint="eastAsia" w:ascii="仿宋_GB2312" w:hAnsi="宋体" w:eastAsia="仿宋_GB2312" w:cs="Times New Roman"/>
          <w:sz w:val="32"/>
          <w:szCs w:val="32"/>
        </w:rPr>
        <w:t>万元，利润总额4341万元，利润率=13.58%，新增利润=</w:t>
      </w:r>
      <w:r>
        <w:rPr>
          <w:rFonts w:hint="eastAsia" w:ascii="仿宋_GB2312" w:hAnsi="宋体" w:eastAsia="仿宋_GB2312" w:cs="Times New Roman"/>
          <w:sz w:val="32"/>
          <w:szCs w:val="32"/>
          <w:lang w:val="en-US" w:eastAsia="zh-CN"/>
        </w:rPr>
        <w:t>1500</w:t>
      </w:r>
      <w:r>
        <w:rPr>
          <w:rFonts w:hint="eastAsia" w:ascii="仿宋_GB2312" w:hAnsi="宋体" w:eastAsia="仿宋_GB2312" w:cs="Times New Roman"/>
          <w:sz w:val="32"/>
          <w:szCs w:val="32"/>
        </w:rPr>
        <w:t>*0.1358=</w:t>
      </w:r>
      <w:r>
        <w:rPr>
          <w:rFonts w:hint="eastAsia" w:ascii="仿宋_GB2312" w:hAnsi="宋体" w:eastAsia="仿宋_GB2312" w:cs="Times New Roman"/>
          <w:sz w:val="32"/>
          <w:szCs w:val="32"/>
          <w:lang w:val="en-US" w:eastAsia="zh-CN"/>
        </w:rPr>
        <w:t>204</w:t>
      </w:r>
      <w:r>
        <w:rPr>
          <w:rFonts w:hint="eastAsia" w:ascii="仿宋_GB2312" w:hAnsi="宋体" w:eastAsia="仿宋_GB2312" w:cs="Times New Roman"/>
          <w:sz w:val="32"/>
          <w:szCs w:val="32"/>
        </w:rPr>
        <w:t>万元；</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2、新增税金</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2017年收入31960万元，三项射流收入</w:t>
      </w:r>
      <w:r>
        <w:rPr>
          <w:rFonts w:hint="eastAsia" w:ascii="仿宋_GB2312" w:hAnsi="宋体" w:eastAsia="仿宋_GB2312" w:cs="Times New Roman"/>
          <w:sz w:val="32"/>
          <w:szCs w:val="32"/>
          <w:lang w:val="en-US" w:eastAsia="zh-CN"/>
        </w:rPr>
        <w:t>1500</w:t>
      </w:r>
      <w:r>
        <w:rPr>
          <w:rFonts w:hint="eastAsia" w:ascii="仿宋_GB2312" w:hAnsi="宋体" w:eastAsia="仿宋_GB2312" w:cs="Times New Roman"/>
          <w:sz w:val="32"/>
          <w:szCs w:val="32"/>
        </w:rPr>
        <w:t>万元，已交税金2810万元，税收负担率=8.79% ， 新增税收=1</w:t>
      </w:r>
      <w:r>
        <w:rPr>
          <w:rFonts w:hint="eastAsia" w:ascii="仿宋_GB2312" w:hAnsi="宋体" w:eastAsia="仿宋_GB2312" w:cs="Times New Roman"/>
          <w:sz w:val="32"/>
          <w:szCs w:val="32"/>
          <w:lang w:val="en-US" w:eastAsia="zh-CN"/>
        </w:rPr>
        <w:t>32</w:t>
      </w:r>
      <w:r>
        <w:rPr>
          <w:rFonts w:hint="eastAsia" w:ascii="仿宋_GB2312" w:hAnsi="宋体" w:eastAsia="仿宋_GB2312" w:cs="Times New Roman"/>
          <w:sz w:val="32"/>
          <w:szCs w:val="32"/>
        </w:rPr>
        <w:t>万元；</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2018年</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1、新增利润</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2018年收入30578万元  三相射流收入2310万元，利润总额2585万元 ，利润率=8.45%  新增利润=2310*0.0845=195万元；</w:t>
      </w:r>
    </w:p>
    <w:p>
      <w:pPr>
        <w:snapToGrid w:val="0"/>
        <w:spacing w:line="600" w:lineRule="exact"/>
        <w:ind w:firstLine="640" w:firstLineChars="200"/>
        <w:rPr>
          <w:rFonts w:ascii="仿宋_GB2312" w:hAnsi="宋体" w:eastAsia="仿宋_GB2312" w:cs="Times New Roman"/>
          <w:sz w:val="32"/>
          <w:szCs w:val="32"/>
        </w:rPr>
      </w:pPr>
      <w:r>
        <w:rPr>
          <w:rFonts w:hint="eastAsia" w:ascii="仿宋_GB2312" w:hAnsi="宋体" w:eastAsia="仿宋_GB2312" w:cs="Times New Roman"/>
          <w:sz w:val="32"/>
          <w:szCs w:val="32"/>
        </w:rPr>
        <w:t>2、新增税金</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2018年收入30578万元  三相射流收入2310万元，已交税金1958万元，税金负担率=6.4% ，新增税收=148万元；</w:t>
      </w:r>
    </w:p>
    <w:p>
      <w:pPr>
        <w:snapToGrid w:val="0"/>
        <w:spacing w:line="600" w:lineRule="exact"/>
        <w:rPr>
          <w:rFonts w:ascii="仿宋_GB2312" w:hAnsi="宋体" w:eastAsia="仿宋_GB2312" w:cs="Times New Roman"/>
          <w:sz w:val="32"/>
          <w:szCs w:val="32"/>
        </w:rPr>
      </w:pPr>
      <w:r>
        <w:rPr>
          <w:rFonts w:hint="eastAsia" w:ascii="黑体" w:hAnsi="黑体" w:eastAsia="黑体" w:cs="Times New Roman"/>
          <w:sz w:val="32"/>
          <w:szCs w:val="32"/>
        </w:rPr>
        <w:t>（七）主要完成人</w:t>
      </w:r>
    </w:p>
    <w:p>
      <w:pPr>
        <w:snapToGrid w:val="0"/>
        <w:spacing w:line="60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rPr>
        <w:t>1</w:t>
      </w:r>
      <w:r>
        <w:rPr>
          <w:rFonts w:ascii="仿宋_GB2312" w:hAnsi="宋体" w:eastAsia="仿宋_GB2312" w:cs="Times New Roman"/>
          <w:sz w:val="32"/>
          <w:szCs w:val="32"/>
        </w:rPr>
        <w:t>.</w:t>
      </w:r>
      <w:r>
        <w:rPr>
          <w:rFonts w:hint="eastAsia" w:ascii="仿宋_GB2312" w:hAnsi="宋体" w:eastAsia="仿宋_GB2312" w:cs="Times New Roman"/>
          <w:sz w:val="32"/>
          <w:szCs w:val="32"/>
        </w:rPr>
        <w:t>第一完成人：</w:t>
      </w:r>
      <w:r>
        <w:rPr>
          <w:rFonts w:hint="eastAsia" w:ascii="仿宋_GB2312" w:hAnsi="宋体" w:eastAsia="仿宋_GB2312" w:cs="Times New Roman"/>
          <w:sz w:val="32"/>
          <w:szCs w:val="32"/>
          <w:lang w:val="en-US" w:eastAsia="zh-CN"/>
        </w:rPr>
        <w:t>倪军</w:t>
      </w:r>
      <w:r>
        <w:rPr>
          <w:rFonts w:hint="eastAsia" w:ascii="仿宋_GB2312" w:hAnsi="宋体" w:eastAsia="仿宋_GB2312" w:cs="Times New Roman"/>
          <w:sz w:val="32"/>
          <w:szCs w:val="32"/>
        </w:rPr>
        <w:t>，</w:t>
      </w:r>
      <w:r>
        <w:rPr>
          <w:rFonts w:hint="eastAsia" w:ascii="仿宋_GB2312" w:hAnsi="宋体" w:eastAsia="仿宋_GB2312" w:cs="Times New Roman"/>
          <w:sz w:val="32"/>
          <w:szCs w:val="32"/>
          <w:lang w:eastAsia="zh-CN"/>
        </w:rPr>
        <w:t>明光浩淼安防科技股份公司</w:t>
      </w:r>
      <w:r>
        <w:rPr>
          <w:rFonts w:hint="eastAsia" w:ascii="仿宋_GB2312" w:hAnsi="宋体" w:eastAsia="仿宋_GB2312" w:cs="Times New Roman"/>
          <w:sz w:val="32"/>
          <w:szCs w:val="32"/>
        </w:rPr>
        <w:t>，</w:t>
      </w:r>
      <w:r>
        <w:rPr>
          <w:rFonts w:hint="eastAsia" w:ascii="仿宋_GB2312" w:hAnsi="宋体" w:eastAsia="仿宋_GB2312" w:cs="Times New Roman"/>
          <w:sz w:val="32"/>
          <w:szCs w:val="32"/>
          <w:lang w:eastAsia="zh-CN"/>
        </w:rPr>
        <w:t>工程师。</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对本项目技术创造性贡献：项目总负责人；对该项目《主要技术创新点》中1.</w:t>
      </w:r>
      <w:r>
        <w:rPr>
          <w:rFonts w:hint="eastAsia" w:ascii="仿宋_GB2312" w:hAnsi="宋体" w:eastAsia="仿宋_GB2312" w:cs="Times New Roman"/>
          <w:sz w:val="32"/>
          <w:szCs w:val="32"/>
          <w:lang w:val="en-US" w:eastAsia="zh-CN"/>
        </w:rPr>
        <w:t>2.1</w:t>
      </w:r>
      <w:r>
        <w:rPr>
          <w:rFonts w:hint="eastAsia" w:ascii="仿宋_GB2312" w:hAnsi="宋体" w:eastAsia="仿宋_GB2312" w:cs="Times New Roman"/>
          <w:sz w:val="32"/>
          <w:szCs w:val="32"/>
        </w:rPr>
        <w:t>、1.2</w:t>
      </w:r>
      <w:r>
        <w:rPr>
          <w:rFonts w:hint="eastAsia" w:ascii="仿宋_GB2312" w:hAnsi="宋体" w:eastAsia="仿宋_GB2312" w:cs="Times New Roman"/>
          <w:sz w:val="32"/>
          <w:szCs w:val="32"/>
          <w:lang w:val="en-US" w:eastAsia="zh-CN"/>
        </w:rPr>
        <w:t>.2、1.2.4、1.2.11</w:t>
      </w:r>
      <w:r>
        <w:rPr>
          <w:rFonts w:hint="eastAsia" w:ascii="仿宋_GB2312" w:hAnsi="宋体" w:eastAsia="仿宋_GB2312" w:cs="Times New Roman"/>
          <w:sz w:val="32"/>
          <w:szCs w:val="32"/>
        </w:rPr>
        <w:t>创新点做出了贡献，提出了将三相射流灭火技术应用于消防车的研究思路，并在公司所在地统筹规划了1000m3模拟油罐全液面火灾实验场地；建立了三相射流消防车生产线。在研发工作中投入的工作量占本人工作总量的80%。</w:t>
      </w:r>
    </w:p>
    <w:p>
      <w:pPr>
        <w:snapToGrid w:val="0"/>
        <w:spacing w:line="60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rPr>
        <w:t>曾获科技奖励情况：</w:t>
      </w:r>
      <w:r>
        <w:rPr>
          <w:rFonts w:hint="eastAsia" w:ascii="仿宋_GB2312" w:hAnsi="宋体" w:eastAsia="仿宋_GB2312" w:cs="Times New Roman"/>
          <w:sz w:val="32"/>
          <w:szCs w:val="32"/>
          <w:lang w:val="en-US" w:eastAsia="zh-CN"/>
        </w:rPr>
        <w:t>1</w:t>
      </w:r>
      <w:r>
        <w:rPr>
          <w:rFonts w:hint="eastAsia" w:ascii="仿宋_GB2312" w:hAnsi="宋体" w:eastAsia="仿宋_GB2312" w:cs="Times New Roman"/>
          <w:sz w:val="32"/>
          <w:szCs w:val="32"/>
        </w:rPr>
        <w:t>、2009年，“水雾排烟消防机器人”项目获中国消防协会科学技术创新奖三等奖；</w:t>
      </w:r>
      <w:r>
        <w:rPr>
          <w:rFonts w:hint="eastAsia" w:ascii="仿宋_GB2312" w:hAnsi="宋体" w:eastAsia="仿宋_GB2312" w:cs="Times New Roman"/>
          <w:sz w:val="32"/>
          <w:szCs w:val="32"/>
          <w:lang w:val="en-US" w:eastAsia="zh-CN"/>
        </w:rPr>
        <w:t>2</w:t>
      </w:r>
      <w:r>
        <w:rPr>
          <w:rFonts w:hint="eastAsia" w:ascii="仿宋_GB2312" w:hAnsi="宋体" w:eastAsia="仿宋_GB2312" w:cs="Times New Roman"/>
          <w:sz w:val="32"/>
          <w:szCs w:val="32"/>
        </w:rPr>
        <w:t>、2011年，“基于数据融合技术的消防车综合检测系统研制”项目获中国消防协会科学技术创新奖二等奖；</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2</w:t>
      </w:r>
      <w:r>
        <w:rPr>
          <w:rFonts w:ascii="仿宋_GB2312" w:hAnsi="宋体" w:eastAsia="仿宋_GB2312" w:cs="Times New Roman"/>
          <w:sz w:val="32"/>
          <w:szCs w:val="32"/>
        </w:rPr>
        <w:t>.</w:t>
      </w:r>
      <w:r>
        <w:rPr>
          <w:rFonts w:hint="eastAsia" w:ascii="仿宋_GB2312" w:hAnsi="宋体" w:eastAsia="仿宋_GB2312" w:cs="Times New Roman"/>
          <w:sz w:val="32"/>
          <w:szCs w:val="32"/>
        </w:rPr>
        <w:t>第二完成人：</w:t>
      </w:r>
      <w:r>
        <w:rPr>
          <w:rFonts w:hint="eastAsia" w:ascii="仿宋_GB2312" w:hAnsi="宋体" w:eastAsia="仿宋_GB2312" w:cs="Times New Roman"/>
          <w:sz w:val="32"/>
          <w:szCs w:val="32"/>
          <w:lang w:eastAsia="zh-CN"/>
        </w:rPr>
        <w:t>徐晓光</w:t>
      </w:r>
      <w:r>
        <w:rPr>
          <w:rFonts w:hint="eastAsia" w:ascii="仿宋_GB2312" w:hAnsi="宋体" w:eastAsia="仿宋_GB2312" w:cs="Times New Roman"/>
          <w:sz w:val="32"/>
          <w:szCs w:val="32"/>
        </w:rPr>
        <w:t>，安徽工程大学，</w:t>
      </w:r>
      <w:r>
        <w:rPr>
          <w:rFonts w:hint="eastAsia" w:ascii="仿宋_GB2312" w:hAnsi="宋体" w:eastAsia="仿宋_GB2312" w:cs="Times New Roman"/>
          <w:sz w:val="32"/>
          <w:szCs w:val="32"/>
          <w:lang w:eastAsia="zh-CN"/>
        </w:rPr>
        <w:t>副教授</w:t>
      </w:r>
      <w:r>
        <w:rPr>
          <w:rFonts w:hint="eastAsia" w:ascii="仿宋_GB2312" w:hAnsi="宋体" w:eastAsia="仿宋_GB2312" w:cs="Times New Roman"/>
          <w:sz w:val="32"/>
          <w:szCs w:val="32"/>
        </w:rPr>
        <w:t>。</w:t>
      </w:r>
    </w:p>
    <w:p>
      <w:pPr>
        <w:snapToGrid w:val="0"/>
        <w:spacing w:line="60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对本项目技术创造性贡献：项目总负责人；对该项目《主要技术创新点》中1.</w:t>
      </w:r>
      <w:r>
        <w:rPr>
          <w:rFonts w:hint="eastAsia" w:ascii="仿宋_GB2312" w:hAnsi="宋体" w:eastAsia="仿宋_GB2312" w:cs="Times New Roman"/>
          <w:sz w:val="32"/>
          <w:szCs w:val="32"/>
          <w:lang w:val="en-US" w:eastAsia="zh-CN"/>
        </w:rPr>
        <w:t>2.6</w:t>
      </w:r>
      <w:r>
        <w:rPr>
          <w:rFonts w:hint="eastAsia" w:ascii="仿宋_GB2312" w:hAnsi="宋体" w:eastAsia="仿宋_GB2312" w:cs="Times New Roman"/>
          <w:sz w:val="32"/>
          <w:szCs w:val="32"/>
          <w:lang w:eastAsia="zh-CN"/>
        </w:rPr>
        <w:t>、1.2</w:t>
      </w:r>
      <w:r>
        <w:rPr>
          <w:rFonts w:hint="eastAsia" w:ascii="仿宋_GB2312" w:hAnsi="宋体" w:eastAsia="仿宋_GB2312" w:cs="Times New Roman"/>
          <w:sz w:val="32"/>
          <w:szCs w:val="32"/>
          <w:lang w:val="en-US" w:eastAsia="zh-CN"/>
        </w:rPr>
        <w:t>.8</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1.2.10、1.2.12</w:t>
      </w:r>
      <w:r>
        <w:rPr>
          <w:rFonts w:hint="eastAsia" w:ascii="仿宋_GB2312" w:hAnsi="宋体" w:eastAsia="仿宋_GB2312" w:cs="Times New Roman"/>
          <w:sz w:val="32"/>
          <w:szCs w:val="32"/>
          <w:lang w:eastAsia="zh-CN"/>
        </w:rPr>
        <w:t>创新点做出了贡献，提出了将三相射流灭火技术应用于消防车的研究思路，并研究了车载超细水雾三相射流自动控制技术，在研发工作中投入的工作量占本人工作总量的80%。</w:t>
      </w:r>
    </w:p>
    <w:p>
      <w:pPr>
        <w:snapToGrid w:val="0"/>
        <w:spacing w:line="60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曾获科技奖励情况：</w:t>
      </w:r>
    </w:p>
    <w:p>
      <w:pPr>
        <w:snapToGrid w:val="0"/>
        <w:spacing w:line="60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lang w:val="en-US" w:eastAsia="zh-CN"/>
        </w:rPr>
        <w:t>1</w:t>
      </w:r>
      <w:r>
        <w:rPr>
          <w:rFonts w:hint="eastAsia" w:ascii="仿宋_GB2312" w:hAnsi="宋体" w:eastAsia="仿宋_GB2312" w:cs="Times New Roman"/>
          <w:sz w:val="32"/>
          <w:szCs w:val="32"/>
          <w:lang w:eastAsia="zh-CN"/>
        </w:rPr>
        <w:t>）“分布式电冰箱性能参数采集与处理系统”省级科技成果三等奖（2002-3-R6），安徽省科学技术厅2003-9-12；（</w:t>
      </w:r>
      <w:r>
        <w:rPr>
          <w:rFonts w:hint="eastAsia" w:ascii="仿宋_GB2312" w:hAnsi="宋体" w:eastAsia="仿宋_GB2312" w:cs="Times New Roman"/>
          <w:sz w:val="32"/>
          <w:szCs w:val="32"/>
          <w:lang w:val="en-US" w:eastAsia="zh-CN"/>
        </w:rPr>
        <w:t>2</w:t>
      </w:r>
      <w:r>
        <w:rPr>
          <w:rFonts w:hint="eastAsia" w:ascii="仿宋_GB2312" w:hAnsi="宋体" w:eastAsia="仿宋_GB2312" w:cs="Times New Roman"/>
          <w:sz w:val="32"/>
          <w:szCs w:val="32"/>
          <w:lang w:eastAsia="zh-CN"/>
        </w:rPr>
        <w:t>）“基于ADSL的远程污水处理自动监测监控信息管理系统研究”，省级科技成果三等奖（2009-3-R3），安徽省科学技术厅2009-11-13；（</w:t>
      </w:r>
      <w:r>
        <w:rPr>
          <w:rFonts w:hint="eastAsia" w:ascii="仿宋_GB2312" w:hAnsi="宋体" w:eastAsia="仿宋_GB2312" w:cs="Times New Roman"/>
          <w:sz w:val="32"/>
          <w:szCs w:val="32"/>
          <w:lang w:val="en-US" w:eastAsia="zh-CN"/>
        </w:rPr>
        <w:t>3</w:t>
      </w:r>
      <w:r>
        <w:rPr>
          <w:rFonts w:hint="eastAsia" w:ascii="仿宋_GB2312" w:hAnsi="宋体" w:eastAsia="仿宋_GB2312" w:cs="Times New Roman"/>
          <w:sz w:val="32"/>
          <w:szCs w:val="32"/>
          <w:lang w:eastAsia="zh-CN"/>
        </w:rPr>
        <w:t>）“基于ADSL的远程污水处理自动监测监控信息管理系统”，芜湖市人民政府，芜湖市科技成果三等奖，（2009-3-R3），2010-3-18；（</w:t>
      </w:r>
      <w:r>
        <w:rPr>
          <w:rFonts w:hint="eastAsia" w:ascii="仿宋_GB2312" w:hAnsi="宋体" w:eastAsia="仿宋_GB2312" w:cs="Times New Roman"/>
          <w:sz w:val="32"/>
          <w:szCs w:val="32"/>
          <w:lang w:val="en-US" w:eastAsia="zh-CN"/>
        </w:rPr>
        <w:t>4</w:t>
      </w:r>
      <w:r>
        <w:rPr>
          <w:rFonts w:hint="eastAsia" w:ascii="仿宋_GB2312" w:hAnsi="宋体" w:eastAsia="仿宋_GB2312" w:cs="Times New Roman"/>
          <w:sz w:val="32"/>
          <w:szCs w:val="32"/>
          <w:lang w:eastAsia="zh-CN"/>
        </w:rPr>
        <w:t>）“分布式温湿度测控系统的应用研究及产业化”，芜湖市人民政府，芜湖市科技成果三等奖，（2009-3-R5），2011-2-25；</w:t>
      </w:r>
      <w:r>
        <w:rPr>
          <w:rFonts w:hint="eastAsia" w:ascii="仿宋_GB2312" w:hAnsi="宋体" w:eastAsia="仿宋_GB2312" w:cs="Times New Roman"/>
          <w:sz w:val="32"/>
          <w:szCs w:val="32"/>
          <w:lang w:val="en-US" w:eastAsia="zh-CN"/>
        </w:rPr>
        <w:t>（5）“基于数据融合技术的消防车综合检测系统研制”，中国消防协会，中国消防协会科学技术创新奖二等奖，（2010-CFPA-2-06-R01）</w:t>
      </w:r>
    </w:p>
    <w:p>
      <w:pPr>
        <w:snapToGrid w:val="0"/>
        <w:spacing w:line="600" w:lineRule="exact"/>
        <w:ind w:firstLine="640" w:firstLineChars="200"/>
        <w:rPr>
          <w:rFonts w:ascii="仿宋_GB2312" w:hAnsi="宋体" w:eastAsia="仿宋_GB2312" w:cs="Times New Roman"/>
          <w:sz w:val="32"/>
          <w:szCs w:val="32"/>
        </w:rPr>
      </w:pPr>
      <w:r>
        <w:rPr>
          <w:rFonts w:ascii="仿宋_GB2312" w:hAnsi="宋体" w:eastAsia="仿宋_GB2312" w:cs="Times New Roman"/>
          <w:sz w:val="32"/>
          <w:szCs w:val="32"/>
        </w:rPr>
        <w:t>3.</w:t>
      </w:r>
      <w:r>
        <w:rPr>
          <w:rFonts w:hint="eastAsia" w:ascii="仿宋_GB2312" w:hAnsi="宋体" w:eastAsia="仿宋_GB2312" w:cs="Times New Roman"/>
          <w:sz w:val="32"/>
          <w:szCs w:val="32"/>
        </w:rPr>
        <w:t>第三完成人：</w:t>
      </w:r>
      <w:r>
        <w:rPr>
          <w:rFonts w:hint="eastAsia" w:ascii="仿宋_GB2312" w:hAnsi="宋体" w:eastAsia="仿宋_GB2312" w:cs="Times New Roman"/>
          <w:sz w:val="32"/>
          <w:szCs w:val="32"/>
          <w:lang w:eastAsia="zh-CN"/>
        </w:rPr>
        <w:t>陈阳</w:t>
      </w:r>
      <w:r>
        <w:rPr>
          <w:rFonts w:hint="eastAsia" w:ascii="仿宋_GB2312" w:hAnsi="宋体" w:eastAsia="仿宋_GB2312" w:cs="Times New Roman"/>
          <w:sz w:val="32"/>
          <w:szCs w:val="32"/>
        </w:rPr>
        <w:t>，</w:t>
      </w:r>
      <w:r>
        <w:rPr>
          <w:rFonts w:hint="eastAsia" w:ascii="仿宋_GB2312" w:hAnsi="宋体" w:eastAsia="仿宋_GB2312" w:cs="Times New Roman"/>
          <w:sz w:val="32"/>
          <w:szCs w:val="32"/>
          <w:lang w:eastAsia="zh-CN"/>
        </w:rPr>
        <w:t>安徽工程大学</w:t>
      </w:r>
      <w:r>
        <w:rPr>
          <w:rFonts w:hint="eastAsia" w:ascii="仿宋_GB2312" w:hAnsi="宋体" w:eastAsia="仿宋_GB2312" w:cs="Times New Roman"/>
          <w:sz w:val="32"/>
          <w:szCs w:val="32"/>
        </w:rPr>
        <w:t>，高级</w:t>
      </w:r>
      <w:r>
        <w:rPr>
          <w:rFonts w:hint="eastAsia" w:ascii="仿宋_GB2312" w:hAnsi="宋体" w:eastAsia="仿宋_GB2312" w:cs="Times New Roman"/>
          <w:sz w:val="32"/>
          <w:szCs w:val="32"/>
          <w:lang w:eastAsia="zh-CN"/>
        </w:rPr>
        <w:t>工程师</w:t>
      </w:r>
      <w:r>
        <w:rPr>
          <w:rFonts w:hint="eastAsia" w:ascii="仿宋_GB2312" w:hAnsi="宋体" w:eastAsia="仿宋_GB2312" w:cs="Times New Roman"/>
          <w:sz w:val="32"/>
          <w:szCs w:val="32"/>
        </w:rPr>
        <w:t>。</w:t>
      </w:r>
      <w:r>
        <w:rPr>
          <w:rFonts w:hint="eastAsia" w:ascii="仿宋_GB2312" w:hAnsi="宋体" w:eastAsia="仿宋_GB2312" w:cs="Times New Roman"/>
          <w:sz w:val="32"/>
          <w:szCs w:val="32"/>
          <w:lang w:eastAsia="zh-CN"/>
        </w:rPr>
        <w:t>对本项目技术创造性贡献：</w:t>
      </w:r>
      <w:r>
        <w:rPr>
          <w:rFonts w:hint="eastAsia" w:ascii="仿宋_GB2312" w:hAnsi="宋体" w:eastAsia="仿宋_GB2312" w:cs="Times New Roman"/>
          <w:sz w:val="32"/>
          <w:szCs w:val="32"/>
          <w:lang w:val="en-US" w:eastAsia="zh-CN"/>
        </w:rPr>
        <w:t>项目研究骨干；对该项目《主要技术创新点》中1.2.8创新点做出了贡献，负责三相射流灭火技术应用于消防车的开发研究；设计了三相射流自动控制系统，改进完善了三相射流消防车的性能参数。在研发工作中投入的工作量占本人工作总量的70%。</w:t>
      </w:r>
    </w:p>
    <w:p>
      <w:pPr>
        <w:snapToGrid w:val="0"/>
        <w:spacing w:line="600" w:lineRule="exact"/>
        <w:ind w:firstLine="640" w:firstLineChars="200"/>
        <w:rPr>
          <w:rFonts w:hint="eastAsia" w:ascii="仿宋_GB2312" w:hAnsi="宋体" w:eastAsia="仿宋_GB2312" w:cs="Times New Roman"/>
          <w:sz w:val="32"/>
          <w:szCs w:val="32"/>
          <w:lang w:eastAsia="zh-CN"/>
        </w:rPr>
      </w:pPr>
      <w:r>
        <w:rPr>
          <w:rFonts w:ascii="仿宋_GB2312" w:hAnsi="宋体" w:eastAsia="仿宋_GB2312" w:cs="Times New Roman"/>
          <w:sz w:val="32"/>
          <w:szCs w:val="32"/>
        </w:rPr>
        <w:t>4.</w:t>
      </w:r>
      <w:r>
        <w:rPr>
          <w:rFonts w:hint="eastAsia" w:ascii="仿宋_GB2312" w:hAnsi="宋体" w:eastAsia="仿宋_GB2312" w:cs="Times New Roman"/>
          <w:sz w:val="32"/>
          <w:szCs w:val="32"/>
        </w:rPr>
        <w:t>第四完成人：</w:t>
      </w:r>
      <w:r>
        <w:rPr>
          <w:rFonts w:hint="eastAsia" w:ascii="仿宋_GB2312" w:hAnsi="宋体" w:eastAsia="仿宋_GB2312" w:cs="Times New Roman"/>
          <w:sz w:val="32"/>
          <w:szCs w:val="32"/>
          <w:lang w:eastAsia="zh-CN"/>
        </w:rPr>
        <w:t>李光荣，明光浩淼安防科技股份公司，工程师。</w:t>
      </w:r>
      <w:r>
        <w:rPr>
          <w:rFonts w:hint="eastAsia" w:ascii="仿宋_GB2312" w:hAnsi="宋体" w:eastAsia="仿宋_GB2312" w:cs="Times New Roman"/>
          <w:sz w:val="32"/>
          <w:szCs w:val="32"/>
          <w:lang w:val="en-US" w:eastAsia="zh-CN"/>
        </w:rPr>
        <w:t>对本项目技术创造性贡献：项目研究骨干；对该项目《主要技术创新点》中1.2.3、1.2.5、1.2.9创新点做出了贡献，负责三相射流灭火技术应用于消防车的开发研究；设计了灭火剂管路装置和输送系统，解决了喷射性能与动力匹配问题，改进完善了三相射流消防车的性能参数。在研发工作中投入的工作量占本人工作总量的70%。</w:t>
      </w:r>
    </w:p>
    <w:p>
      <w:pPr>
        <w:snapToGrid w:val="0"/>
        <w:spacing w:line="60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曾获科技奖励情况：2012年获安徽省科技厅“年产800辆系列高端消防车研发与应用科技成果奖”；</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5.第五完成人：</w:t>
      </w:r>
      <w:r>
        <w:rPr>
          <w:rFonts w:hint="eastAsia" w:ascii="仿宋_GB2312" w:hAnsi="宋体" w:eastAsia="仿宋_GB2312" w:cs="Times New Roman"/>
          <w:sz w:val="32"/>
          <w:szCs w:val="32"/>
          <w:lang w:val="en-US" w:eastAsia="zh-CN"/>
        </w:rPr>
        <w:t>程继国</w:t>
      </w:r>
      <w:r>
        <w:rPr>
          <w:rFonts w:hint="eastAsia" w:ascii="仿宋_GB2312" w:hAnsi="宋体" w:eastAsia="仿宋_GB2312" w:cs="Times New Roman"/>
          <w:sz w:val="32"/>
          <w:szCs w:val="32"/>
        </w:rPr>
        <w:t>，</w:t>
      </w:r>
      <w:r>
        <w:rPr>
          <w:rFonts w:hint="eastAsia" w:ascii="仿宋_GB2312" w:hAnsi="宋体" w:eastAsia="仿宋_GB2312" w:cs="Times New Roman"/>
          <w:sz w:val="32"/>
          <w:szCs w:val="32"/>
          <w:lang w:eastAsia="zh-CN"/>
        </w:rPr>
        <w:t>明光浩淼安防科技股份公司</w:t>
      </w:r>
      <w:r>
        <w:rPr>
          <w:rFonts w:hint="eastAsia" w:ascii="仿宋_GB2312" w:hAnsi="宋体" w:eastAsia="仿宋_GB2312" w:cs="Times New Roman"/>
          <w:sz w:val="32"/>
          <w:szCs w:val="32"/>
        </w:rPr>
        <w:t>，工程师。对本项目技术创造性贡献：项目总工；对该项目《主要技术创新点》中1.</w:t>
      </w:r>
      <w:r>
        <w:rPr>
          <w:rFonts w:hint="eastAsia" w:ascii="仿宋_GB2312" w:hAnsi="宋体" w:eastAsia="仿宋_GB2312" w:cs="Times New Roman"/>
          <w:sz w:val="32"/>
          <w:szCs w:val="32"/>
          <w:lang w:val="en-US" w:eastAsia="zh-CN"/>
        </w:rPr>
        <w:t>2.7</w:t>
      </w:r>
      <w:r>
        <w:rPr>
          <w:rFonts w:hint="eastAsia" w:ascii="仿宋_GB2312" w:hAnsi="宋体" w:eastAsia="仿宋_GB2312" w:cs="Times New Roman"/>
          <w:sz w:val="32"/>
          <w:szCs w:val="32"/>
        </w:rPr>
        <w:t>创新点做出了贡献，根据三相射流灭火技术特点设计了三相射流灭火装置；对现有灭火剂的联用可行性进行了测试分析，研究了该装置的参数；在研发工作中投入的工作量占本人工作总量的80%。</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曾获科技奖励情况：</w:t>
      </w:r>
    </w:p>
    <w:p>
      <w:pPr>
        <w:snapToGrid w:val="0"/>
        <w:spacing w:line="60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rPr>
        <w:t>1、2002年厢式客车型抢险救援消防车</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获国家知识产权局授予实用新型</w:t>
      </w:r>
      <w:r>
        <w:rPr>
          <w:rFonts w:hint="eastAsia" w:ascii="仿宋_GB2312" w:hAnsi="宋体" w:eastAsia="仿宋_GB2312" w:cs="Times New Roman"/>
          <w:sz w:val="32"/>
          <w:szCs w:val="32"/>
          <w:lang w:eastAsia="zh-CN"/>
        </w:rPr>
        <w:t>专利；</w:t>
      </w:r>
    </w:p>
    <w:p>
      <w:pPr>
        <w:snapToGrid w:val="0"/>
        <w:spacing w:line="60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rPr>
        <w:t>2、2012年BX5250TXFPY139HW型排烟消防车</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获中国消防协会科学技术创新一等奖</w:t>
      </w:r>
      <w:r>
        <w:rPr>
          <w:rFonts w:hint="eastAsia" w:ascii="仿宋_GB2312" w:hAnsi="宋体" w:eastAsia="仿宋_GB2312" w:cs="Times New Roman"/>
          <w:sz w:val="32"/>
          <w:szCs w:val="32"/>
          <w:lang w:eastAsia="zh-CN"/>
        </w:rPr>
        <w:t>；</w:t>
      </w:r>
    </w:p>
    <w:p>
      <w:pPr>
        <w:snapToGrid w:val="0"/>
        <w:spacing w:line="60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rPr>
        <w:t>3、2012年BX5270XFPM40WP7型泡沫消防车</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获中国消防协会科学技术创新叁等奖</w:t>
      </w:r>
      <w:r>
        <w:rPr>
          <w:rFonts w:hint="eastAsia" w:ascii="仿宋_GB2312" w:hAnsi="宋体" w:eastAsia="仿宋_GB2312" w:cs="Times New Roman"/>
          <w:sz w:val="32"/>
          <w:szCs w:val="32"/>
          <w:lang w:eastAsia="zh-CN"/>
        </w:rPr>
        <w:t>；</w:t>
      </w:r>
    </w:p>
    <w:p>
      <w:pPr>
        <w:snapToGrid w:val="0"/>
        <w:spacing w:line="600" w:lineRule="exact"/>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rPr>
        <w:t>4、2013年BX5320GXFPM90/M超大流量多功能消防车</w:t>
      </w:r>
      <w:r>
        <w:rPr>
          <w:rFonts w:hint="eastAsia" w:ascii="仿宋_GB2312" w:hAnsi="宋体" w:eastAsia="仿宋_GB2312" w:cs="Times New Roman"/>
          <w:sz w:val="32"/>
          <w:szCs w:val="32"/>
          <w:lang w:eastAsia="zh-CN"/>
        </w:rPr>
        <w:t>，</w:t>
      </w:r>
      <w:r>
        <w:rPr>
          <w:rFonts w:hint="eastAsia" w:ascii="仿宋_GB2312" w:hAnsi="宋体" w:eastAsia="仿宋_GB2312" w:cs="Times New Roman"/>
          <w:sz w:val="32"/>
          <w:szCs w:val="32"/>
        </w:rPr>
        <w:t>获中国消防协会科学技术</w:t>
      </w:r>
      <w:r>
        <w:rPr>
          <w:rFonts w:hint="eastAsia" w:ascii="仿宋_GB2312" w:hAnsi="宋体" w:eastAsia="仿宋_GB2312" w:cs="Times New Roman"/>
          <w:sz w:val="32"/>
          <w:szCs w:val="32"/>
          <w:lang w:eastAsia="zh-CN"/>
        </w:rPr>
        <w:t>；</w:t>
      </w:r>
    </w:p>
    <w:p>
      <w:pPr>
        <w:snapToGrid w:val="0"/>
        <w:spacing w:line="600" w:lineRule="exact"/>
        <w:rPr>
          <w:rFonts w:ascii="仿宋_GB2312" w:hAnsi="宋体" w:eastAsia="仿宋_GB2312" w:cs="Times New Roman"/>
          <w:sz w:val="32"/>
          <w:szCs w:val="32"/>
        </w:rPr>
      </w:pPr>
      <w:r>
        <w:rPr>
          <w:rFonts w:hint="eastAsia" w:ascii="黑体" w:hAnsi="黑体" w:eastAsia="黑体" w:cs="Times New Roman"/>
          <w:sz w:val="32"/>
          <w:szCs w:val="32"/>
        </w:rPr>
        <w:t>（八）主要完成单位</w:t>
      </w:r>
    </w:p>
    <w:p>
      <w:pPr>
        <w:spacing w:line="360" w:lineRule="auto"/>
        <w:ind w:firstLine="640" w:firstLineChars="200"/>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eastAsia="zh-CN"/>
        </w:rPr>
        <w:t>1.第一完成单位：明光浩淼安防科技股份公司。</w:t>
      </w:r>
      <w:r>
        <w:rPr>
          <w:rFonts w:hint="eastAsia" w:ascii="仿宋_GB2312" w:hAnsi="宋体" w:eastAsia="仿宋_GB2312" w:cs="Times New Roman"/>
          <w:sz w:val="32"/>
          <w:szCs w:val="32"/>
          <w:lang w:val="en-US" w:eastAsia="zh-CN"/>
        </w:rPr>
        <w:t>在项目的研发中明光浩淼安防科技股份公司承担主要完成单位，详细制定研究计划和路线，确保研究工作的有序开展；在项目研究过程中，本单位加强项目过程管理，建立项目分级管理、周例会和月例会等制度，定期开展任务执行情况、人员和经费投入情况的跟踪检查工作，确保研究工作的高效开展。</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val="en-US" w:eastAsia="zh-CN"/>
        </w:rPr>
        <w:t>负责三相射流灭火装置、三项射流消防车的研究，设计了多项灭火剂管路装置和输送系统，解决了喷射性能与动力匹配问题，获得了多项国家专利，投产了三相射流消防车的生产线，已开发了奔驰三相射流消防车、25米三相射流消防车和36米三相射流消防车产品；开展了三相射流消防车的应用推广，在石油石化企业和消防部队得到较好的应用。</w:t>
      </w:r>
    </w:p>
    <w:p>
      <w:pPr>
        <w:autoSpaceDE w:val="0"/>
        <w:autoSpaceDN w:val="0"/>
        <w:adjustRightInd w:val="0"/>
        <w:snapToGrid w:val="0"/>
        <w:ind w:firstLine="697" w:firstLineChars="218"/>
        <w:jc w:val="left"/>
        <w:rPr>
          <w:rFonts w:hint="eastAsia" w:ascii="仿宋_GB2312" w:hAnsi="宋体" w:eastAsia="仿宋_GB2312" w:cs="Times New Roman"/>
          <w:sz w:val="32"/>
          <w:szCs w:val="32"/>
        </w:rPr>
      </w:pPr>
      <w:r>
        <w:rPr>
          <w:rFonts w:ascii="仿宋_GB2312" w:hAnsi="宋体" w:eastAsia="仿宋_GB2312" w:cs="Times New Roman"/>
          <w:sz w:val="32"/>
          <w:szCs w:val="32"/>
        </w:rPr>
        <w:t>2.</w:t>
      </w:r>
      <w:r>
        <w:rPr>
          <w:rFonts w:hint="eastAsia" w:ascii="仿宋_GB2312" w:hAnsi="宋体" w:eastAsia="仿宋_GB2312" w:cs="Times New Roman"/>
          <w:sz w:val="32"/>
          <w:szCs w:val="32"/>
        </w:rPr>
        <w:t>第二完成单位：</w:t>
      </w:r>
      <w:r>
        <w:rPr>
          <w:rFonts w:hint="eastAsia" w:ascii="仿宋_GB2312" w:hAnsi="宋体" w:eastAsia="仿宋_GB2312" w:cs="Times New Roman"/>
          <w:sz w:val="32"/>
          <w:szCs w:val="32"/>
          <w:lang w:eastAsia="zh-CN"/>
        </w:rPr>
        <w:t>安徽工程大学</w:t>
      </w:r>
      <w:r>
        <w:rPr>
          <w:rFonts w:hint="eastAsia" w:ascii="仿宋_GB2312" w:hAnsi="宋体" w:eastAsia="仿宋_GB2312" w:cs="Times New Roman"/>
          <w:sz w:val="32"/>
          <w:szCs w:val="32"/>
        </w:rPr>
        <w:t>。</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主要是研发三相射流喷射灭火装置中茶细水雾控制系统，该系统以消防车为载体，实现了消防车超细水雾控制系统的应用创新，包括：</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1）嵌入式超细水雾消防车智能控制系统的构架。由于消防车系统要求具有高安全性和高可靠性的特殊要求，构架智能控制系统需要考虑各种特殊的环境条件和使用因素，系统设计需要结合实战经验和现有技术条件综合考虑。首先是系统的操控方便性，采用一键式控制方式，减少消防员的现场操作，提高消防员的工作效率，同时也增强了消防车灭火性能和操控的安全性。</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2）超细水雾消防车控制器样机研制。消防车智能控制器是软硬件结合在一起的，因此需要采用统一设计方法，对系统的软件/硬件进行合理的分析与划分，从而使系统的整体性能、功耗、稳定性达到最优；</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超细水雾的定义是在最小设计工作压力下，距喷口一米的平面上，测得水雾最粗部分的水微粒直径不大于200μ。而水微粒直径在1000μ至200μ时，定义为细水雾，水微粒直径大于1000μ时，定义为雾状水。将水和空气的混合并控制一定的压力、流量等技术参数，是形成超细水雾的关键技术。本项目的主要应用创新之一是将压力、流量、转速等参数检测和控制阀的开度、油门大小等执行机构进行协调控制，保证灭火的细水雾达到相关技术要求。</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经过研究与建设，达到的功能目标：</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1）设计具有高可靠性、方便实用的超细水雾消防车控制器样机，提供界面友好的图形用户接口（GUI）及接口功能；</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2)采用高性能微处理器，研制支持RS-485及CAN总线结构的控制驱动单元，其性能指标达到目前国内先进水平；</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3)研制一套可直接与消防车智能控制器捆绑的嵌入式诊断软件，其技术指标达到国内先进水平，并进一步实现产业化推广应用；</w:t>
      </w:r>
    </w:p>
    <w:p>
      <w:pPr>
        <w:spacing w:line="360" w:lineRule="auto"/>
        <w:ind w:firstLine="640" w:firstLineChars="200"/>
        <w:rPr>
          <w:rFonts w:hint="eastAsia" w:ascii="仿宋_GB2312" w:hAnsi="宋体" w:eastAsia="仿宋_GB2312" w:cs="Times New Roman"/>
          <w:sz w:val="32"/>
          <w:szCs w:val="32"/>
          <w:lang w:eastAsia="zh-CN"/>
        </w:rPr>
      </w:pPr>
      <w:r>
        <w:rPr>
          <w:rFonts w:hint="eastAsia" w:ascii="仿宋_GB2312" w:hAnsi="宋体" w:eastAsia="仿宋_GB2312" w:cs="Times New Roman"/>
          <w:sz w:val="32"/>
          <w:szCs w:val="32"/>
          <w:lang w:eastAsia="zh-CN"/>
        </w:rPr>
        <w:t>4)在消防车智能控制器、消防车总线系统、消防车诊断系统等方面取得发明专利或实用新型专利3项。</w:t>
      </w:r>
    </w:p>
    <w:p>
      <w:pPr>
        <w:snapToGrid w:val="0"/>
        <w:spacing w:line="600" w:lineRule="exact"/>
        <w:rPr>
          <w:rFonts w:ascii="仿宋_GB2312" w:hAnsi="宋体" w:eastAsia="仿宋_GB2312" w:cs="Times New Roman"/>
          <w:sz w:val="32"/>
          <w:szCs w:val="32"/>
        </w:rPr>
      </w:pPr>
      <w:r>
        <w:rPr>
          <w:rFonts w:hint="eastAsia" w:ascii="黑体" w:hAnsi="黑体" w:eastAsia="黑体" w:cs="Times New Roman"/>
          <w:sz w:val="32"/>
          <w:szCs w:val="32"/>
        </w:rPr>
        <w:t>（九）完成人合作关系说明</w:t>
      </w:r>
    </w:p>
    <w:p>
      <w:pPr>
        <w:spacing w:line="360" w:lineRule="auto"/>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lang w:eastAsia="zh-CN"/>
        </w:rPr>
        <w:t>明光浩淼安防科技股份公司，</w:t>
      </w:r>
      <w:r>
        <w:rPr>
          <w:rFonts w:hint="eastAsia" w:ascii="仿宋_GB2312" w:hAnsi="宋体" w:eastAsia="仿宋_GB2312" w:cs="Times New Roman"/>
          <w:sz w:val="32"/>
          <w:szCs w:val="32"/>
        </w:rPr>
        <w:t>安徽工程大学，为本项目的完成单位。合作方式包括：(1)共同参加科研项目、开发新产品；(2)共同获奖；(3)共同研制对方、行业标准；(4)共同发表学术论文等。</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rPr>
        <w:t>本项目的所有完成人均有多年的合作关系。描述如下：</w:t>
      </w:r>
    </w:p>
    <w:p>
      <w:pPr>
        <w:snapToGrid w:val="0"/>
        <w:spacing w:line="600" w:lineRule="exact"/>
        <w:ind w:firstLine="640" w:firstLineChars="200"/>
        <w:rPr>
          <w:rFonts w:hint="eastAsia" w:ascii="仿宋_GB2312" w:hAnsi="宋体" w:eastAsia="仿宋_GB2312" w:cs="Times New Roman"/>
          <w:sz w:val="32"/>
          <w:szCs w:val="32"/>
        </w:rPr>
      </w:pPr>
      <w:r>
        <w:rPr>
          <w:rFonts w:hint="eastAsia" w:ascii="仿宋_GB2312" w:hAnsi="宋体" w:eastAsia="仿宋_GB2312" w:cs="Times New Roman"/>
          <w:sz w:val="32"/>
          <w:szCs w:val="32"/>
          <w:lang w:val="en-US" w:eastAsia="zh-CN"/>
        </w:rPr>
        <w:t>倪军是第一完成人</w:t>
      </w:r>
      <w:r>
        <w:rPr>
          <w:rFonts w:hint="eastAsia" w:ascii="仿宋_GB2312" w:hAnsi="宋体" w:eastAsia="仿宋_GB2312" w:cs="Times New Roman"/>
          <w:sz w:val="32"/>
          <w:szCs w:val="32"/>
        </w:rPr>
        <w:t>，项目总负责人；提出了将三相射流灭火技术应用于消防车的研究思路，并在公司所在地统筹规划了1000m3模拟油罐全液面火灾实验场地；建立了三相射流消防车生产线。</w:t>
      </w:r>
    </w:p>
    <w:p>
      <w:pPr>
        <w:snapToGrid w:val="0"/>
        <w:spacing w:line="600" w:lineRule="exact"/>
        <w:ind w:firstLine="640" w:firstLineChars="200"/>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徐晓光是第二完成人，完成方式包括共同知识产权，合作时间2013年3月至2015年5月，合作成果有发明专利：车载超细水雾三相射流自动控制系统，实用新型专利：消防车恒压控制装置、汽车电子油门控制器；</w:t>
      </w:r>
    </w:p>
    <w:p>
      <w:pPr>
        <w:spacing w:line="360" w:lineRule="auto"/>
        <w:ind w:firstLine="640" w:firstLineChars="200"/>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陈阳是第三完成人，完成方式包括共同知识产权，合作时间2013年3月至2015年5月，合作成果有发明专利：车载超细水雾三相射流自动控制系统；</w:t>
      </w:r>
    </w:p>
    <w:p>
      <w:pPr>
        <w:spacing w:line="360" w:lineRule="auto"/>
        <w:ind w:firstLine="640" w:firstLineChars="200"/>
        <w:rPr>
          <w:rFonts w:hint="default"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李光荣是第四完成人，完成方式包括共同知识产权，合作时间2013年3月至2015年5月，合作成果有发明专利：（1）车载高噴多剂联用喷射灭火装置（2）多剂联用中心回转体装置（3）伸缩式粉剂输送管装置（4）粉剂储罐内的粉剂沸腾装置。实用新型专利：（1）车载高喷复合灭火剂喷射灭火装置（2）复合射流用转发分配器（3）复合射流用伸缩式输送粉管装置；</w:t>
      </w:r>
    </w:p>
    <w:p>
      <w:pPr>
        <w:spacing w:line="360" w:lineRule="auto"/>
        <w:ind w:firstLine="640" w:firstLineChars="200"/>
        <w:rPr>
          <w:rFonts w:ascii="仿宋_GB2312" w:hAnsi="宋体" w:eastAsia="仿宋_GB2312" w:cs="Times New Roman"/>
          <w:sz w:val="32"/>
          <w:szCs w:val="32"/>
        </w:rPr>
      </w:pPr>
      <w:r>
        <w:rPr>
          <w:rFonts w:hint="eastAsia" w:ascii="仿宋_GB2312" w:hAnsi="宋体" w:eastAsia="仿宋_GB2312" w:cs="Times New Roman"/>
          <w:sz w:val="32"/>
          <w:szCs w:val="32"/>
          <w:lang w:val="en-US" w:eastAsia="zh-CN"/>
        </w:rPr>
        <w:t>程继国是第五完成人，完成方式包括共同知识产权，合作时间2013年3月至2015年5月，合作成果有实用新型专利：三相射流喷射灭火装置；</w:t>
      </w: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8240" behindDoc="0" locked="0" layoutInCell="1" allowOverlap="1">
              <wp:simplePos x="0" y="0"/>
              <wp:positionH relativeFrom="margin">
                <wp:posOffset>2597150</wp:posOffset>
              </wp:positionH>
              <wp:positionV relativeFrom="paragraph">
                <wp:posOffset>2540</wp:posOffset>
              </wp:positionV>
              <wp:extent cx="177800" cy="17145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7800" cy="171450"/>
                      </a:xfrm>
                      <a:prstGeom prst="rect">
                        <a:avLst/>
                      </a:prstGeom>
                      <a:noFill/>
                      <a:ln w="9525">
                        <a:noFill/>
                      </a:ln>
                      <a:effectLst/>
                    </wps:spPr>
                    <wps:txbx>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wrap="square" lIns="0" tIns="0" rIns="0" bIns="0">
                      <a:noAutofit/>
                    </wps:bodyPr>
                  </wps:wsp>
                </a:graphicData>
              </a:graphic>
            </wp:anchor>
          </w:drawing>
        </mc:Choice>
        <mc:Fallback>
          <w:pict>
            <v:shape id="_x0000_s1026" o:spid="_x0000_s1026" o:spt="202" type="#_x0000_t202" style="position:absolute;left:0pt;margin-left:204.5pt;margin-top:0.2pt;height:13.5pt;width:14pt;mso-position-horizontal-relative:margin;z-index:251658240;mso-width-relative:page;mso-height-relative:page;" filled="f" stroked="f" coordsize="21600,21600" o:gfxdata="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VxpZT9YAAAAHAQAADwAAAAAAAAABACAAAAAiAAAAZHJzL2Rvd25yZXYueG1sUEsBAhQA&#10;FAAAAAgAh07iQGPOB2q7AQAAVgMAAA4AAAAAAAAAAQAgAAAAJQEAAGRycy9lMm9Eb2MueG1sUEsF&#10;BgAAAAAGAAYAWQEAAFIFAAAAAA==&#10;">
              <v:fill on="f" focussize="0,0"/>
              <v:stroke on="f"/>
              <v:imagedata o:title=""/>
              <o:lock v:ext="edit" aspectratio="f"/>
              <v:textbox inset="0mm,0mm,0mm,0mm">
                <w:txbxContent>
                  <w:p>
                    <w:pPr>
                      <w:snapToGrid w:val="0"/>
                      <w:rPr>
                        <w:rFonts w:eastAsia="宋体"/>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753"/>
    <w:rsid w:val="0000290E"/>
    <w:rsid w:val="00011BD2"/>
    <w:rsid w:val="00026CAD"/>
    <w:rsid w:val="000513E6"/>
    <w:rsid w:val="00053FB3"/>
    <w:rsid w:val="00062164"/>
    <w:rsid w:val="000852DD"/>
    <w:rsid w:val="00085E6D"/>
    <w:rsid w:val="00090987"/>
    <w:rsid w:val="000972E9"/>
    <w:rsid w:val="000B1346"/>
    <w:rsid w:val="000B49DD"/>
    <w:rsid w:val="000F10F7"/>
    <w:rsid w:val="000F3F6A"/>
    <w:rsid w:val="00102A9D"/>
    <w:rsid w:val="00110E42"/>
    <w:rsid w:val="00117753"/>
    <w:rsid w:val="00157443"/>
    <w:rsid w:val="00163DD8"/>
    <w:rsid w:val="00193B4E"/>
    <w:rsid w:val="001D53EC"/>
    <w:rsid w:val="001F46D3"/>
    <w:rsid w:val="00221A5E"/>
    <w:rsid w:val="002909CE"/>
    <w:rsid w:val="00297BE0"/>
    <w:rsid w:val="002A0F53"/>
    <w:rsid w:val="002C3F52"/>
    <w:rsid w:val="002D15F1"/>
    <w:rsid w:val="002F1D42"/>
    <w:rsid w:val="00300DC0"/>
    <w:rsid w:val="00315AFE"/>
    <w:rsid w:val="00330BCA"/>
    <w:rsid w:val="00334B2B"/>
    <w:rsid w:val="00337138"/>
    <w:rsid w:val="00340327"/>
    <w:rsid w:val="003444B9"/>
    <w:rsid w:val="0034727D"/>
    <w:rsid w:val="003805C8"/>
    <w:rsid w:val="00385B34"/>
    <w:rsid w:val="003A2292"/>
    <w:rsid w:val="003A68B0"/>
    <w:rsid w:val="003C06E5"/>
    <w:rsid w:val="003E0D84"/>
    <w:rsid w:val="003E48A0"/>
    <w:rsid w:val="004523BD"/>
    <w:rsid w:val="0047132F"/>
    <w:rsid w:val="00490F75"/>
    <w:rsid w:val="004C5A31"/>
    <w:rsid w:val="004D0AD7"/>
    <w:rsid w:val="004D4F51"/>
    <w:rsid w:val="004D563D"/>
    <w:rsid w:val="004F0432"/>
    <w:rsid w:val="004F5E0F"/>
    <w:rsid w:val="005147DA"/>
    <w:rsid w:val="00542C4C"/>
    <w:rsid w:val="005635C4"/>
    <w:rsid w:val="00595611"/>
    <w:rsid w:val="0059640E"/>
    <w:rsid w:val="006261B0"/>
    <w:rsid w:val="006402D6"/>
    <w:rsid w:val="00642ACF"/>
    <w:rsid w:val="00684098"/>
    <w:rsid w:val="006B185D"/>
    <w:rsid w:val="007130D4"/>
    <w:rsid w:val="00750418"/>
    <w:rsid w:val="00754747"/>
    <w:rsid w:val="00767C3E"/>
    <w:rsid w:val="007E7DCE"/>
    <w:rsid w:val="00801D1D"/>
    <w:rsid w:val="00802627"/>
    <w:rsid w:val="00823787"/>
    <w:rsid w:val="008417B8"/>
    <w:rsid w:val="008C5BF2"/>
    <w:rsid w:val="008E7752"/>
    <w:rsid w:val="00924B0A"/>
    <w:rsid w:val="0095450D"/>
    <w:rsid w:val="009552DC"/>
    <w:rsid w:val="00984294"/>
    <w:rsid w:val="009B311B"/>
    <w:rsid w:val="009B539F"/>
    <w:rsid w:val="009C14BF"/>
    <w:rsid w:val="009C375B"/>
    <w:rsid w:val="009C5F0C"/>
    <w:rsid w:val="009E15C9"/>
    <w:rsid w:val="009F5226"/>
    <w:rsid w:val="009F55F2"/>
    <w:rsid w:val="00A65083"/>
    <w:rsid w:val="00A74CD5"/>
    <w:rsid w:val="00A94C8D"/>
    <w:rsid w:val="00B05159"/>
    <w:rsid w:val="00B068C6"/>
    <w:rsid w:val="00B16CC8"/>
    <w:rsid w:val="00B55731"/>
    <w:rsid w:val="00BC2F06"/>
    <w:rsid w:val="00BD3E1D"/>
    <w:rsid w:val="00BF1141"/>
    <w:rsid w:val="00C257B5"/>
    <w:rsid w:val="00C37153"/>
    <w:rsid w:val="00C65269"/>
    <w:rsid w:val="00C7501E"/>
    <w:rsid w:val="00C91438"/>
    <w:rsid w:val="00C96A0F"/>
    <w:rsid w:val="00CA4064"/>
    <w:rsid w:val="00CA50F5"/>
    <w:rsid w:val="00CA72DC"/>
    <w:rsid w:val="00CD5E18"/>
    <w:rsid w:val="00CF50F1"/>
    <w:rsid w:val="00D04071"/>
    <w:rsid w:val="00D23AEC"/>
    <w:rsid w:val="00D347C8"/>
    <w:rsid w:val="00D37DFC"/>
    <w:rsid w:val="00D43D04"/>
    <w:rsid w:val="00D928B9"/>
    <w:rsid w:val="00D93BB7"/>
    <w:rsid w:val="00D93C58"/>
    <w:rsid w:val="00D96659"/>
    <w:rsid w:val="00DC63A4"/>
    <w:rsid w:val="00E13A2A"/>
    <w:rsid w:val="00E13D20"/>
    <w:rsid w:val="00E530E3"/>
    <w:rsid w:val="00E654B4"/>
    <w:rsid w:val="00E71D94"/>
    <w:rsid w:val="00E77769"/>
    <w:rsid w:val="00EB7E00"/>
    <w:rsid w:val="00ED01CE"/>
    <w:rsid w:val="00ED68B4"/>
    <w:rsid w:val="00EF698D"/>
    <w:rsid w:val="00EF6B33"/>
    <w:rsid w:val="00F01194"/>
    <w:rsid w:val="00F72BFA"/>
    <w:rsid w:val="00F751D2"/>
    <w:rsid w:val="00F90963"/>
    <w:rsid w:val="00FC4573"/>
    <w:rsid w:val="08063E1F"/>
    <w:rsid w:val="0C440613"/>
    <w:rsid w:val="5ED26595"/>
    <w:rsid w:val="7BE422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link w:val="16"/>
    <w:qFormat/>
    <w:uiPriority w:val="0"/>
    <w:pPr>
      <w:spacing w:line="360" w:lineRule="auto"/>
      <w:ind w:firstLine="480" w:firstLineChars="200"/>
    </w:pPr>
    <w:rPr>
      <w:rFonts w:ascii="仿宋_GB2312" w:hAnsi="Times New Roman" w:eastAsia="宋体" w:cs="Times New Roman"/>
      <w:szCs w:val="20"/>
    </w:rPr>
  </w:style>
  <w:style w:type="paragraph" w:styleId="4">
    <w:name w:val="Balloon Text"/>
    <w:basedOn w:val="1"/>
    <w:link w:val="13"/>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9">
    <w:name w:val="Hyperlink"/>
    <w:basedOn w:val="8"/>
    <w:semiHidden/>
    <w:unhideWhenUsed/>
    <w:qFormat/>
    <w:uiPriority w:val="99"/>
    <w:rPr>
      <w:color w:val="0000FF"/>
      <w:u w:val="single"/>
    </w:rPr>
  </w:style>
  <w:style w:type="character" w:customStyle="1" w:styleId="10">
    <w:name w:val="页眉 Char"/>
    <w:basedOn w:val="8"/>
    <w:link w:val="6"/>
    <w:qFormat/>
    <w:uiPriority w:val="99"/>
    <w:rPr>
      <w:sz w:val="18"/>
      <w:szCs w:val="18"/>
    </w:rPr>
  </w:style>
  <w:style w:type="character" w:customStyle="1" w:styleId="11">
    <w:name w:val="页脚 Char"/>
    <w:basedOn w:val="8"/>
    <w:link w:val="5"/>
    <w:qFormat/>
    <w:uiPriority w:val="99"/>
    <w:rPr>
      <w:sz w:val="18"/>
      <w:szCs w:val="18"/>
    </w:rPr>
  </w:style>
  <w:style w:type="paragraph" w:styleId="12">
    <w:name w:val="List Paragraph"/>
    <w:basedOn w:val="1"/>
    <w:qFormat/>
    <w:uiPriority w:val="34"/>
    <w:pPr>
      <w:ind w:firstLine="420" w:firstLineChars="200"/>
    </w:pPr>
  </w:style>
  <w:style w:type="character" w:customStyle="1" w:styleId="13">
    <w:name w:val="批注框文本 Char"/>
    <w:basedOn w:val="8"/>
    <w:link w:val="4"/>
    <w:semiHidden/>
    <w:qFormat/>
    <w:uiPriority w:val="99"/>
    <w:rPr>
      <w:sz w:val="18"/>
      <w:szCs w:val="18"/>
    </w:rPr>
  </w:style>
  <w:style w:type="paragraph" w:customStyle="1" w:styleId="14">
    <w:name w:val="661正文"/>
    <w:basedOn w:val="1"/>
    <w:qFormat/>
    <w:uiPriority w:val="0"/>
    <w:pPr>
      <w:overflowPunct w:val="0"/>
      <w:autoSpaceDE w:val="0"/>
      <w:autoSpaceDN w:val="0"/>
      <w:adjustRightInd w:val="0"/>
      <w:snapToGrid w:val="0"/>
      <w:spacing w:line="360" w:lineRule="auto"/>
      <w:ind w:firstLine="560" w:firstLineChars="200"/>
    </w:pPr>
    <w:rPr>
      <w:rFonts w:ascii="宋体" w:hAnsi="宋体" w:eastAsia="宋体" w:cs="Arial"/>
      <w:kern w:val="0"/>
      <w:sz w:val="28"/>
      <w:szCs w:val="28"/>
    </w:rPr>
  </w:style>
  <w:style w:type="character" w:customStyle="1" w:styleId="15">
    <w:name w:val="标题 1 Char"/>
    <w:basedOn w:val="8"/>
    <w:link w:val="2"/>
    <w:qFormat/>
    <w:uiPriority w:val="9"/>
    <w:rPr>
      <w:rFonts w:ascii="宋体" w:hAnsi="宋体" w:eastAsia="宋体" w:cs="宋体"/>
      <w:b/>
      <w:bCs/>
      <w:kern w:val="36"/>
      <w:sz w:val="48"/>
      <w:szCs w:val="48"/>
    </w:rPr>
  </w:style>
  <w:style w:type="character" w:customStyle="1" w:styleId="16">
    <w:name w:val="纯文本 Char"/>
    <w:basedOn w:val="8"/>
    <w:link w:val="3"/>
    <w:qFormat/>
    <w:uiPriority w:val="0"/>
    <w:rPr>
      <w:rFonts w:ascii="仿宋_GB2312"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12</Pages>
  <Words>977</Words>
  <Characters>5571</Characters>
  <Lines>46</Lines>
  <Paragraphs>13</Paragraphs>
  <TotalTime>5</TotalTime>
  <ScaleCrop>false</ScaleCrop>
  <LinksUpToDate>false</LinksUpToDate>
  <CharactersWithSpaces>6535</CharactersWithSpaces>
  <Application>WPS Office_11.1.0.8573_F1E327BC-269C-435d-A152-05C5408002CA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2019-04-03T02:48:00Z</dcterms:created>
  <dc:creator>胡婷</dc:creator>
  <cp:lastModifiedBy>A施能科技</cp:lastModifiedBy>
  <cp:lastPrinted>2019-01-04T07:06:00Z</cp:lastPrinted>
  <dcterms:modified xsi:type="dcterms:W3CDTF">2019-04-24T00:55:08Z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