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31C87">
      <w:pPr>
        <w:jc w:val="center"/>
        <w:rPr>
          <w:rFonts w:hint="eastAsia" w:ascii="楷体" w:hAnsi="楷体" w:eastAsia="楷体" w:cs="楷体"/>
          <w:b/>
          <w:bCs/>
          <w:sz w:val="44"/>
          <w:szCs w:val="44"/>
        </w:rPr>
      </w:pPr>
      <w:r>
        <w:rPr>
          <w:rFonts w:hint="eastAsia" w:ascii="楷体" w:hAnsi="楷体" w:eastAsia="楷体" w:cs="楷体"/>
          <w:b/>
          <w:bCs/>
          <w:sz w:val="44"/>
          <w:szCs w:val="44"/>
        </w:rPr>
        <w:t>202</w:t>
      </w: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sz w:val="44"/>
          <w:szCs w:val="44"/>
        </w:rPr>
        <w:t>年《国际期刊预警名单（试行）》</w:t>
      </w:r>
    </w:p>
    <w:p w14:paraId="68CB1851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     </w:t>
      </w:r>
    </w:p>
    <w:p w14:paraId="0DE5997A">
      <w:pPr>
        <w:ind w:firstLine="560" w:firstLineChars="200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sz w:val="28"/>
          <w:szCs w:val="28"/>
        </w:rPr>
        <w:t>年12月31日中国科学院文献情报中心-期刊分区表团队发布了202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sz w:val="28"/>
          <w:szCs w:val="28"/>
        </w:rPr>
        <w:t>年《国际期刊预警名单（试行）》。</w:t>
      </w:r>
    </w:p>
    <w:p w14:paraId="0CB4DB67"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425"/>
        <w:gridCol w:w="4158"/>
        <w:gridCol w:w="1577"/>
      </w:tblGrid>
      <w:tr w14:paraId="20EBF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769ED00E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年度</w:t>
            </w:r>
          </w:p>
        </w:tc>
        <w:tc>
          <w:tcPr>
            <w:tcW w:w="1425" w:type="dxa"/>
            <w:vAlign w:val="center"/>
          </w:tcPr>
          <w:p w14:paraId="187C5868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学科</w:t>
            </w:r>
          </w:p>
        </w:tc>
        <w:tc>
          <w:tcPr>
            <w:tcW w:w="4158" w:type="dxa"/>
            <w:vAlign w:val="center"/>
          </w:tcPr>
          <w:p w14:paraId="467B1F33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期刊</w:t>
            </w:r>
          </w:p>
        </w:tc>
        <w:tc>
          <w:tcPr>
            <w:tcW w:w="1577" w:type="dxa"/>
            <w:vAlign w:val="center"/>
          </w:tcPr>
          <w:p w14:paraId="65BA6EE6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预警原因</w:t>
            </w:r>
          </w:p>
        </w:tc>
      </w:tr>
      <w:tr w14:paraId="6DBF4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47DE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425" w:type="dxa"/>
            <w:vAlign w:val="center"/>
          </w:tcPr>
          <w:p w14:paraId="30E5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4158" w:type="dxa"/>
            <w:vAlign w:val="center"/>
          </w:tcPr>
          <w:p w14:paraId="36E48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Complexity</w:t>
            </w:r>
          </w:p>
        </w:tc>
        <w:tc>
          <w:tcPr>
            <w:tcW w:w="1577" w:type="dxa"/>
            <w:vAlign w:val="center"/>
          </w:tcPr>
          <w:p w14:paraId="7ADB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7B8E5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3297F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425" w:type="dxa"/>
            <w:vAlign w:val="center"/>
          </w:tcPr>
          <w:p w14:paraId="5604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4158" w:type="dxa"/>
            <w:vAlign w:val="center"/>
          </w:tcPr>
          <w:p w14:paraId="48E7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Shock and Vibration</w:t>
            </w:r>
          </w:p>
        </w:tc>
        <w:tc>
          <w:tcPr>
            <w:tcW w:w="1577" w:type="dxa"/>
            <w:vAlign w:val="center"/>
          </w:tcPr>
          <w:p w14:paraId="137D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5C246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2819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425" w:type="dxa"/>
            <w:vAlign w:val="center"/>
          </w:tcPr>
          <w:p w14:paraId="7F86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4158" w:type="dxa"/>
            <w:vAlign w:val="center"/>
          </w:tcPr>
          <w:p w14:paraId="550FF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Advances in Civil Engineering</w:t>
            </w:r>
          </w:p>
        </w:tc>
        <w:tc>
          <w:tcPr>
            <w:tcW w:w="1577" w:type="dxa"/>
            <w:vAlign w:val="center"/>
          </w:tcPr>
          <w:p w14:paraId="266A8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07558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120D4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425" w:type="dxa"/>
            <w:vAlign w:val="center"/>
          </w:tcPr>
          <w:p w14:paraId="3E79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工程技术</w:t>
            </w:r>
          </w:p>
        </w:tc>
        <w:tc>
          <w:tcPr>
            <w:tcW w:w="4158" w:type="dxa"/>
            <w:vAlign w:val="center"/>
          </w:tcPr>
          <w:p w14:paraId="77FE5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Biomedicines</w:t>
            </w:r>
          </w:p>
        </w:tc>
        <w:tc>
          <w:tcPr>
            <w:tcW w:w="1577" w:type="dxa"/>
            <w:vAlign w:val="center"/>
          </w:tcPr>
          <w:p w14:paraId="2147C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</w:tr>
      <w:tr w14:paraId="04FA3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119C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425" w:type="dxa"/>
            <w:vAlign w:val="center"/>
          </w:tcPr>
          <w:p w14:paraId="43410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</w:t>
            </w:r>
          </w:p>
        </w:tc>
        <w:tc>
          <w:tcPr>
            <w:tcW w:w="4158" w:type="dxa"/>
            <w:vAlign w:val="center"/>
          </w:tcPr>
          <w:p w14:paraId="5480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Microprocessors and Microsystems</w:t>
            </w:r>
          </w:p>
        </w:tc>
        <w:tc>
          <w:tcPr>
            <w:tcW w:w="1577" w:type="dxa"/>
            <w:vAlign w:val="center"/>
          </w:tcPr>
          <w:p w14:paraId="02F87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</w:p>
        </w:tc>
      </w:tr>
      <w:tr w14:paraId="0649F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5A006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425" w:type="dxa"/>
            <w:vAlign w:val="center"/>
          </w:tcPr>
          <w:p w14:paraId="069E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</w:t>
            </w:r>
          </w:p>
        </w:tc>
        <w:tc>
          <w:tcPr>
            <w:tcW w:w="4158" w:type="dxa"/>
            <w:vAlign w:val="center"/>
          </w:tcPr>
          <w:p w14:paraId="08C6D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Scientific Programming</w:t>
            </w:r>
          </w:p>
        </w:tc>
        <w:tc>
          <w:tcPr>
            <w:tcW w:w="1577" w:type="dxa"/>
            <w:vAlign w:val="center"/>
          </w:tcPr>
          <w:p w14:paraId="3FC5C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</w:tr>
      <w:tr w14:paraId="5EE73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5A7D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425" w:type="dxa"/>
            <w:vAlign w:val="center"/>
          </w:tcPr>
          <w:p w14:paraId="3BE0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生物学</w:t>
            </w:r>
          </w:p>
        </w:tc>
        <w:tc>
          <w:tcPr>
            <w:tcW w:w="4158" w:type="dxa"/>
            <w:vAlign w:val="center"/>
          </w:tcPr>
          <w:p w14:paraId="63234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BioFactors</w:t>
            </w:r>
          </w:p>
        </w:tc>
        <w:tc>
          <w:tcPr>
            <w:tcW w:w="1577" w:type="dxa"/>
            <w:vAlign w:val="center"/>
          </w:tcPr>
          <w:p w14:paraId="5C262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</w:p>
        </w:tc>
      </w:tr>
      <w:tr w14:paraId="1E968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0387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425" w:type="dxa"/>
            <w:vAlign w:val="center"/>
          </w:tcPr>
          <w:p w14:paraId="5FD9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生物学</w:t>
            </w:r>
          </w:p>
        </w:tc>
        <w:tc>
          <w:tcPr>
            <w:tcW w:w="4158" w:type="dxa"/>
            <w:vAlign w:val="center"/>
          </w:tcPr>
          <w:p w14:paraId="33F01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Mitochondrial DNA Part B-Resources</w:t>
            </w:r>
          </w:p>
        </w:tc>
        <w:tc>
          <w:tcPr>
            <w:tcW w:w="1577" w:type="dxa"/>
            <w:vAlign w:val="center"/>
          </w:tcPr>
          <w:p w14:paraId="76D5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52910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4C10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425" w:type="dxa"/>
            <w:vAlign w:val="center"/>
          </w:tcPr>
          <w:p w14:paraId="06FE6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生物学</w:t>
            </w:r>
          </w:p>
        </w:tc>
        <w:tc>
          <w:tcPr>
            <w:tcW w:w="4158" w:type="dxa"/>
            <w:vAlign w:val="center"/>
          </w:tcPr>
          <w:p w14:paraId="61C9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Frontiers in Molecular Biosciences</w:t>
            </w:r>
          </w:p>
        </w:tc>
        <w:tc>
          <w:tcPr>
            <w:tcW w:w="1577" w:type="dxa"/>
            <w:vAlign w:val="center"/>
          </w:tcPr>
          <w:p w14:paraId="0D93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</w:tr>
      <w:tr w14:paraId="31721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shd w:val="clear"/>
            <w:vAlign w:val="center"/>
          </w:tcPr>
          <w:p w14:paraId="25F5F352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年度</w:t>
            </w:r>
          </w:p>
        </w:tc>
        <w:tc>
          <w:tcPr>
            <w:tcW w:w="1425" w:type="dxa"/>
            <w:shd w:val="clear"/>
            <w:vAlign w:val="center"/>
          </w:tcPr>
          <w:p w14:paraId="777412EA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学科</w:t>
            </w:r>
          </w:p>
        </w:tc>
        <w:tc>
          <w:tcPr>
            <w:tcW w:w="4158" w:type="dxa"/>
            <w:shd w:val="clear"/>
            <w:vAlign w:val="center"/>
          </w:tcPr>
          <w:p w14:paraId="76FA5A90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期刊</w:t>
            </w:r>
          </w:p>
        </w:tc>
        <w:tc>
          <w:tcPr>
            <w:tcW w:w="1577" w:type="dxa"/>
            <w:shd w:val="clear"/>
            <w:vAlign w:val="center"/>
          </w:tcPr>
          <w:p w14:paraId="3597A9FA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预警原因</w:t>
            </w:r>
          </w:p>
        </w:tc>
      </w:tr>
      <w:tr w14:paraId="76520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63F5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425" w:type="dxa"/>
            <w:vAlign w:val="center"/>
          </w:tcPr>
          <w:p w14:paraId="317A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生物学</w:t>
            </w:r>
          </w:p>
        </w:tc>
        <w:tc>
          <w:tcPr>
            <w:tcW w:w="4158" w:type="dxa"/>
            <w:vAlign w:val="center"/>
          </w:tcPr>
          <w:p w14:paraId="50A7F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Frontiers in Cell and Developmental Biology</w:t>
            </w:r>
          </w:p>
        </w:tc>
        <w:tc>
          <w:tcPr>
            <w:tcW w:w="1577" w:type="dxa"/>
            <w:vAlign w:val="center"/>
          </w:tcPr>
          <w:p w14:paraId="32E7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</w:tr>
      <w:tr w14:paraId="67351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1847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425" w:type="dxa"/>
            <w:vAlign w:val="center"/>
          </w:tcPr>
          <w:p w14:paraId="788A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生物学</w:t>
            </w:r>
          </w:p>
        </w:tc>
        <w:tc>
          <w:tcPr>
            <w:tcW w:w="4158" w:type="dxa"/>
            <w:vAlign w:val="center"/>
          </w:tcPr>
          <w:p w14:paraId="5578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Life-Basel</w:t>
            </w:r>
          </w:p>
        </w:tc>
        <w:tc>
          <w:tcPr>
            <w:tcW w:w="1577" w:type="dxa"/>
            <w:vAlign w:val="center"/>
          </w:tcPr>
          <w:p w14:paraId="174F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</w:tr>
      <w:tr w14:paraId="08C85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420CA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425" w:type="dxa"/>
            <w:vAlign w:val="center"/>
          </w:tcPr>
          <w:p w14:paraId="2243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生物学</w:t>
            </w:r>
          </w:p>
        </w:tc>
        <w:tc>
          <w:tcPr>
            <w:tcW w:w="4158" w:type="dxa"/>
            <w:vAlign w:val="center"/>
          </w:tcPr>
          <w:p w14:paraId="0C35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Biology-Basel</w:t>
            </w:r>
          </w:p>
        </w:tc>
        <w:tc>
          <w:tcPr>
            <w:tcW w:w="1577" w:type="dxa"/>
            <w:vAlign w:val="center"/>
          </w:tcPr>
          <w:p w14:paraId="639B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</w:tr>
      <w:tr w14:paraId="310B5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686A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425" w:type="dxa"/>
            <w:vAlign w:val="center"/>
          </w:tcPr>
          <w:p w14:paraId="3011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4158" w:type="dxa"/>
            <w:vAlign w:val="center"/>
          </w:tcPr>
          <w:p w14:paraId="353AA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Discrete Dynamics in Nature and Society</w:t>
            </w:r>
          </w:p>
        </w:tc>
        <w:tc>
          <w:tcPr>
            <w:tcW w:w="1577" w:type="dxa"/>
            <w:vAlign w:val="center"/>
          </w:tcPr>
          <w:p w14:paraId="4E49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57739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2EAF1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425" w:type="dxa"/>
            <w:vAlign w:val="center"/>
          </w:tcPr>
          <w:p w14:paraId="04CF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4158" w:type="dxa"/>
            <w:vAlign w:val="center"/>
          </w:tcPr>
          <w:p w14:paraId="668A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AIMS Mathematics</w:t>
            </w:r>
          </w:p>
        </w:tc>
        <w:tc>
          <w:tcPr>
            <w:tcW w:w="1577" w:type="dxa"/>
            <w:vAlign w:val="center"/>
          </w:tcPr>
          <w:p w14:paraId="7867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</w:tr>
      <w:tr w14:paraId="6693D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05A77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425" w:type="dxa"/>
            <w:vAlign w:val="center"/>
          </w:tcPr>
          <w:p w14:paraId="726F7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4158" w:type="dxa"/>
            <w:vAlign w:val="center"/>
          </w:tcPr>
          <w:p w14:paraId="5CC4A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Journal of Mathematics</w:t>
            </w:r>
          </w:p>
        </w:tc>
        <w:tc>
          <w:tcPr>
            <w:tcW w:w="1577" w:type="dxa"/>
            <w:vAlign w:val="center"/>
          </w:tcPr>
          <w:p w14:paraId="077D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</w:tr>
      <w:tr w14:paraId="178FA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6A8C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425" w:type="dxa"/>
            <w:vAlign w:val="center"/>
          </w:tcPr>
          <w:p w14:paraId="6B45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026B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Pharmazie</w:t>
            </w:r>
          </w:p>
        </w:tc>
        <w:tc>
          <w:tcPr>
            <w:tcW w:w="1577" w:type="dxa"/>
            <w:vAlign w:val="center"/>
          </w:tcPr>
          <w:p w14:paraId="10AE7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</w:p>
        </w:tc>
      </w:tr>
      <w:tr w14:paraId="524C0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0E2D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425" w:type="dxa"/>
            <w:vAlign w:val="center"/>
          </w:tcPr>
          <w:p w14:paraId="4773A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7D96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Molecular Therapy-Nucleic Acids</w:t>
            </w:r>
          </w:p>
        </w:tc>
        <w:tc>
          <w:tcPr>
            <w:tcW w:w="1577" w:type="dxa"/>
            <w:vAlign w:val="center"/>
          </w:tcPr>
          <w:p w14:paraId="3EA59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</w:p>
        </w:tc>
      </w:tr>
      <w:tr w14:paraId="0DFA8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744FC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425" w:type="dxa"/>
            <w:vAlign w:val="center"/>
          </w:tcPr>
          <w:p w14:paraId="4A37F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132C1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Experimental and Molecular Pathology</w:t>
            </w:r>
          </w:p>
        </w:tc>
        <w:tc>
          <w:tcPr>
            <w:tcW w:w="1577" w:type="dxa"/>
            <w:vAlign w:val="center"/>
          </w:tcPr>
          <w:p w14:paraId="4C37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</w:t>
            </w:r>
          </w:p>
        </w:tc>
      </w:tr>
      <w:tr w14:paraId="0CF73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0E6F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425" w:type="dxa"/>
            <w:vAlign w:val="center"/>
          </w:tcPr>
          <w:p w14:paraId="37038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1D5F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Journal of Cellular and Molecular Medicine</w:t>
            </w:r>
          </w:p>
        </w:tc>
        <w:tc>
          <w:tcPr>
            <w:tcW w:w="1577" w:type="dxa"/>
            <w:vAlign w:val="center"/>
          </w:tcPr>
          <w:p w14:paraId="7113E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1F108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21F5A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425" w:type="dxa"/>
            <w:vAlign w:val="center"/>
          </w:tcPr>
          <w:p w14:paraId="283AE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04773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Molecular Medicine Reports</w:t>
            </w:r>
          </w:p>
        </w:tc>
        <w:tc>
          <w:tcPr>
            <w:tcW w:w="1577" w:type="dxa"/>
            <w:vAlign w:val="center"/>
          </w:tcPr>
          <w:p w14:paraId="02CFD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3A7EC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shd w:val="clear"/>
            <w:vAlign w:val="center"/>
          </w:tcPr>
          <w:p w14:paraId="26B7FB17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年度</w:t>
            </w:r>
          </w:p>
        </w:tc>
        <w:tc>
          <w:tcPr>
            <w:tcW w:w="1425" w:type="dxa"/>
            <w:shd w:val="clear"/>
            <w:vAlign w:val="center"/>
          </w:tcPr>
          <w:p w14:paraId="3D76FA77">
            <w:pPr>
              <w:jc w:val="center"/>
              <w:rPr>
                <w:rFonts w:hint="eastAsia" w:ascii="Times New Roman" w:hAnsi="Times New Roman" w:eastAsia="楷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学科</w:t>
            </w:r>
          </w:p>
        </w:tc>
        <w:tc>
          <w:tcPr>
            <w:tcW w:w="4158" w:type="dxa"/>
            <w:shd w:val="clear"/>
            <w:vAlign w:val="center"/>
          </w:tcPr>
          <w:p w14:paraId="00990B72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期刊</w:t>
            </w:r>
          </w:p>
        </w:tc>
        <w:tc>
          <w:tcPr>
            <w:tcW w:w="1577" w:type="dxa"/>
            <w:shd w:val="clear"/>
            <w:vAlign w:val="center"/>
          </w:tcPr>
          <w:p w14:paraId="18B0DC2B">
            <w:pPr>
              <w:jc w:val="center"/>
              <w:rPr>
                <w:rFonts w:hint="eastAsia" w:ascii="Times New Roman" w:hAnsi="Times New Roman" w:eastAsia="楷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预警原因</w:t>
            </w:r>
          </w:p>
        </w:tc>
      </w:tr>
      <w:tr w14:paraId="5399D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1BB3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425" w:type="dxa"/>
            <w:vAlign w:val="center"/>
          </w:tcPr>
          <w:p w14:paraId="6BED2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71289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Journal of International Medical Research</w:t>
            </w:r>
          </w:p>
        </w:tc>
        <w:tc>
          <w:tcPr>
            <w:tcW w:w="1577" w:type="dxa"/>
            <w:vAlign w:val="center"/>
          </w:tcPr>
          <w:p w14:paraId="4AAD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0993E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143F3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425" w:type="dxa"/>
            <w:vAlign w:val="center"/>
          </w:tcPr>
          <w:p w14:paraId="003F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7B44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Journal of Cancer</w:t>
            </w:r>
          </w:p>
        </w:tc>
        <w:tc>
          <w:tcPr>
            <w:tcW w:w="1577" w:type="dxa"/>
            <w:vAlign w:val="center"/>
          </w:tcPr>
          <w:p w14:paraId="2A12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44055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2F89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425" w:type="dxa"/>
            <w:vAlign w:val="center"/>
          </w:tcPr>
          <w:p w14:paraId="491A2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04F1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Medical Science Monitor</w:t>
            </w:r>
          </w:p>
        </w:tc>
        <w:tc>
          <w:tcPr>
            <w:tcW w:w="1577" w:type="dxa"/>
            <w:vAlign w:val="center"/>
          </w:tcPr>
          <w:p w14:paraId="36AC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288BD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2098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425" w:type="dxa"/>
            <w:vAlign w:val="center"/>
          </w:tcPr>
          <w:p w14:paraId="4DBBD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120E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Aging-US</w:t>
            </w:r>
          </w:p>
        </w:tc>
        <w:tc>
          <w:tcPr>
            <w:tcW w:w="1577" w:type="dxa"/>
            <w:vAlign w:val="center"/>
          </w:tcPr>
          <w:p w14:paraId="71FC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2A057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1C6E7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425" w:type="dxa"/>
            <w:vAlign w:val="center"/>
          </w:tcPr>
          <w:p w14:paraId="18C2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2AB1D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OncoTargets and Therapy</w:t>
            </w:r>
          </w:p>
        </w:tc>
        <w:tc>
          <w:tcPr>
            <w:tcW w:w="1577" w:type="dxa"/>
            <w:vAlign w:val="center"/>
          </w:tcPr>
          <w:p w14:paraId="400B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27B75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42211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425" w:type="dxa"/>
            <w:vAlign w:val="center"/>
          </w:tcPr>
          <w:p w14:paraId="0F38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43A9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Cancer Management and Research</w:t>
            </w:r>
          </w:p>
        </w:tc>
        <w:tc>
          <w:tcPr>
            <w:tcW w:w="1577" w:type="dxa"/>
            <w:vAlign w:val="center"/>
          </w:tcPr>
          <w:p w14:paraId="0A81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36634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5D21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425" w:type="dxa"/>
            <w:vAlign w:val="center"/>
          </w:tcPr>
          <w:p w14:paraId="617E8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48D9D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Cancer Cell International</w:t>
            </w:r>
          </w:p>
        </w:tc>
        <w:tc>
          <w:tcPr>
            <w:tcW w:w="1577" w:type="dxa"/>
            <w:vAlign w:val="center"/>
          </w:tcPr>
          <w:p w14:paraId="0C516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2D660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01C3E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425" w:type="dxa"/>
            <w:vAlign w:val="center"/>
          </w:tcPr>
          <w:p w14:paraId="31CA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4250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World Journal of Clinical Cases</w:t>
            </w:r>
          </w:p>
        </w:tc>
        <w:tc>
          <w:tcPr>
            <w:tcW w:w="1577" w:type="dxa"/>
            <w:vAlign w:val="center"/>
          </w:tcPr>
          <w:p w14:paraId="2F636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</w:t>
            </w:r>
          </w:p>
        </w:tc>
      </w:tr>
      <w:tr w14:paraId="43AE4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79577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425" w:type="dxa"/>
            <w:vAlign w:val="center"/>
          </w:tcPr>
          <w:p w14:paraId="5386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3B9F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Annals of Palliative Medicine</w:t>
            </w:r>
          </w:p>
        </w:tc>
        <w:tc>
          <w:tcPr>
            <w:tcW w:w="1577" w:type="dxa"/>
            <w:vAlign w:val="center"/>
          </w:tcPr>
          <w:p w14:paraId="576E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</w:tr>
      <w:tr w14:paraId="069ED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69316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425" w:type="dxa"/>
            <w:vAlign w:val="center"/>
          </w:tcPr>
          <w:p w14:paraId="7AB3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775E4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International Journal of General Medicine</w:t>
            </w:r>
          </w:p>
        </w:tc>
        <w:tc>
          <w:tcPr>
            <w:tcW w:w="1577" w:type="dxa"/>
            <w:vAlign w:val="center"/>
          </w:tcPr>
          <w:p w14:paraId="2A05B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</w:tr>
      <w:tr w14:paraId="7D83B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2736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425" w:type="dxa"/>
            <w:vAlign w:val="center"/>
          </w:tcPr>
          <w:p w14:paraId="0355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0E10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Frontiers in Medicine</w:t>
            </w:r>
          </w:p>
        </w:tc>
        <w:tc>
          <w:tcPr>
            <w:tcW w:w="1577" w:type="dxa"/>
            <w:vAlign w:val="center"/>
          </w:tcPr>
          <w:p w14:paraId="4B23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</w:tr>
      <w:tr w14:paraId="6B0EE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shd w:val="clear"/>
            <w:vAlign w:val="center"/>
          </w:tcPr>
          <w:p w14:paraId="5EB3804F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0" w:name="_GoBack" w:colFirst="0" w:colLast="3"/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年度</w:t>
            </w:r>
          </w:p>
        </w:tc>
        <w:tc>
          <w:tcPr>
            <w:tcW w:w="1425" w:type="dxa"/>
            <w:shd w:val="clear"/>
            <w:vAlign w:val="center"/>
          </w:tcPr>
          <w:p w14:paraId="6A5DF2C7">
            <w:pPr>
              <w:jc w:val="center"/>
              <w:rPr>
                <w:rFonts w:hint="eastAsia" w:ascii="Times New Roman" w:hAnsi="Times New Roman" w:eastAsia="楷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学科</w:t>
            </w:r>
          </w:p>
        </w:tc>
        <w:tc>
          <w:tcPr>
            <w:tcW w:w="4158" w:type="dxa"/>
            <w:shd w:val="clear"/>
            <w:vAlign w:val="center"/>
          </w:tcPr>
          <w:p w14:paraId="4656E0DA">
            <w:pPr>
              <w:jc w:val="center"/>
              <w:rPr>
                <w:rFonts w:hint="default" w:ascii="Times New Roman" w:hAnsi="Times New Roman" w:eastAsia="楷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期刊</w:t>
            </w:r>
          </w:p>
        </w:tc>
        <w:tc>
          <w:tcPr>
            <w:tcW w:w="1577" w:type="dxa"/>
            <w:shd w:val="clear"/>
            <w:vAlign w:val="center"/>
          </w:tcPr>
          <w:p w14:paraId="70D5CDAC">
            <w:pPr>
              <w:jc w:val="center"/>
              <w:rPr>
                <w:rFonts w:hint="eastAsia" w:ascii="Times New Roman" w:hAnsi="Times New Roman" w:eastAsia="楷体" w:cs="Times New Roman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预警原因</w:t>
            </w:r>
          </w:p>
        </w:tc>
      </w:tr>
      <w:bookmarkEnd w:id="0"/>
      <w:tr w14:paraId="79AC9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3A304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425" w:type="dxa"/>
            <w:vAlign w:val="center"/>
          </w:tcPr>
          <w:p w14:paraId="5B1C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7527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Journal of Personalized Medicine</w:t>
            </w:r>
          </w:p>
        </w:tc>
        <w:tc>
          <w:tcPr>
            <w:tcW w:w="1577" w:type="dxa"/>
            <w:vAlign w:val="center"/>
          </w:tcPr>
          <w:p w14:paraId="13B2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</w:tr>
      <w:tr w14:paraId="7A879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4A8B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425" w:type="dxa"/>
            <w:vAlign w:val="center"/>
          </w:tcPr>
          <w:p w14:paraId="03011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24B40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Healthcare</w:t>
            </w:r>
          </w:p>
        </w:tc>
        <w:tc>
          <w:tcPr>
            <w:tcW w:w="1577" w:type="dxa"/>
            <w:vAlign w:val="center"/>
          </w:tcPr>
          <w:p w14:paraId="50601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</w:tr>
      <w:tr w14:paraId="008F5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1C2F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425" w:type="dxa"/>
            <w:vAlign w:val="center"/>
          </w:tcPr>
          <w:p w14:paraId="5F0C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1B430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Diagnostics</w:t>
            </w:r>
          </w:p>
        </w:tc>
        <w:tc>
          <w:tcPr>
            <w:tcW w:w="1577" w:type="dxa"/>
            <w:vAlign w:val="center"/>
          </w:tcPr>
          <w:p w14:paraId="0C2B9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</w:tr>
      <w:tr w14:paraId="5E138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62" w:type="dxa"/>
            <w:vAlign w:val="center"/>
          </w:tcPr>
          <w:p w14:paraId="3B1B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</w:p>
        </w:tc>
        <w:tc>
          <w:tcPr>
            <w:tcW w:w="1425" w:type="dxa"/>
            <w:vAlign w:val="center"/>
          </w:tcPr>
          <w:p w14:paraId="3F4F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</w:t>
            </w:r>
          </w:p>
        </w:tc>
        <w:tc>
          <w:tcPr>
            <w:tcW w:w="4158" w:type="dxa"/>
            <w:vAlign w:val="center"/>
          </w:tcPr>
          <w:p w14:paraId="1E0E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Vaccines</w:t>
            </w:r>
          </w:p>
        </w:tc>
        <w:tc>
          <w:tcPr>
            <w:tcW w:w="1577" w:type="dxa"/>
            <w:vAlign w:val="center"/>
          </w:tcPr>
          <w:p w14:paraId="4B32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楷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</w:t>
            </w:r>
          </w:p>
        </w:tc>
      </w:tr>
    </w:tbl>
    <w:p w14:paraId="47F3744C">
      <w:pPr>
        <w:rPr>
          <w:rFonts w:hint="eastAsia"/>
        </w:rPr>
      </w:pPr>
    </w:p>
    <w:p w14:paraId="68F2E44C">
      <w:pPr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以上内容来源于中国科学院文献情报中心</w:t>
      </w:r>
    </w:p>
    <w:p w14:paraId="144A5EFD">
      <w:pPr>
        <w:rPr>
          <w:rFonts w:hint="eastAsia"/>
        </w:rPr>
      </w:pPr>
    </w:p>
    <w:p w14:paraId="51F62935">
      <w:pPr>
        <w:rPr>
          <w:rFonts w:hint="eastAsia"/>
        </w:rPr>
      </w:pPr>
    </w:p>
    <w:p w14:paraId="1407F3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000000"/>
    <w:rsid w:val="2DB442B4"/>
    <w:rsid w:val="473122FE"/>
    <w:rsid w:val="4A15325D"/>
    <w:rsid w:val="59EC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ascii="楷体" w:hAnsi="楷体" w:eastAsia="楷体" w:cs="楷体"/>
      <w:color w:val="000000"/>
      <w:sz w:val="20"/>
      <w:szCs w:val="20"/>
      <w:u w:val="none"/>
    </w:rPr>
  </w:style>
  <w:style w:type="character" w:customStyle="1" w:styleId="6">
    <w:name w:val="font31"/>
    <w:basedOn w:val="4"/>
    <w:uiPriority w:val="0"/>
    <w:rPr>
      <w:rFonts w:ascii="楷体" w:hAnsi="楷体" w:eastAsia="楷体" w:cs="楷体"/>
      <w:color w:val="000000"/>
      <w:sz w:val="20"/>
      <w:szCs w:val="20"/>
      <w:u w:val="none"/>
    </w:rPr>
  </w:style>
  <w:style w:type="character" w:customStyle="1" w:styleId="7">
    <w:name w:val="font41"/>
    <w:basedOn w:val="4"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2024-09-11T08:06:54Z</dcterms:created>
  <dc:creator>🐖</dc:creator>
  <cp:lastModifiedBy>术术</cp:lastModifiedBy>
  <dcterms:modified xsi:type="dcterms:W3CDTF">2024-09-11T08:14:48Z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FE2B7AE984984CFF8D82931376F7019E_12</vt:lpwstr>
  </property>
</Properties>
</file>