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52" w:rsidRDefault="00A90F68">
      <w:pPr>
        <w:spacing w:line="360" w:lineRule="auto"/>
        <w:rPr>
          <w:rFonts w:ascii="楷体_GB2312" w:eastAsia="楷体_GB2312"/>
          <w:sz w:val="32"/>
          <w:szCs w:val="32"/>
        </w:rPr>
      </w:pPr>
      <w:r>
        <w:rPr>
          <w:rFonts w:ascii="楷体_GB2312" w:eastAsia="楷体_GB2312" w:hint="eastAsia"/>
          <w:sz w:val="32"/>
          <w:szCs w:val="32"/>
        </w:rPr>
        <w:t>附件</w:t>
      </w:r>
      <w:r>
        <w:rPr>
          <w:rFonts w:ascii="楷体_GB2312" w:eastAsia="楷体_GB2312" w:hint="eastAsia"/>
          <w:sz w:val="32"/>
          <w:szCs w:val="32"/>
        </w:rPr>
        <w:t>1</w:t>
      </w:r>
      <w:r>
        <w:rPr>
          <w:rFonts w:ascii="楷体_GB2312" w:eastAsia="楷体_GB2312" w:hint="eastAsia"/>
          <w:sz w:val="32"/>
          <w:szCs w:val="32"/>
        </w:rPr>
        <w:t>：</w:t>
      </w:r>
    </w:p>
    <w:p w:rsidR="002A3D52" w:rsidRDefault="002A3D52">
      <w:pPr>
        <w:spacing w:line="360" w:lineRule="auto"/>
        <w:rPr>
          <w:rFonts w:ascii="楷体_GB2312" w:eastAsia="楷体_GB2312"/>
          <w:sz w:val="32"/>
          <w:szCs w:val="32"/>
        </w:rPr>
      </w:pPr>
    </w:p>
    <w:p w:rsidR="002A3D52" w:rsidRDefault="00A90F68">
      <w:pPr>
        <w:jc w:val="center"/>
        <w:rPr>
          <w:rFonts w:ascii="方正小标宋简体" w:eastAsia="方正小标宋简体"/>
          <w:sz w:val="36"/>
          <w:szCs w:val="36"/>
        </w:rPr>
      </w:pPr>
      <w:bookmarkStart w:id="0" w:name="_GoBack"/>
      <w:r>
        <w:rPr>
          <w:rFonts w:ascii="方正小标宋简体" w:eastAsia="方正小标宋简体" w:hint="eastAsia"/>
          <w:sz w:val="36"/>
          <w:szCs w:val="36"/>
        </w:rPr>
        <w:t>最高人民法院</w:t>
      </w:r>
      <w:r>
        <w:rPr>
          <w:rFonts w:ascii="方正小标宋简体" w:eastAsia="方正小标宋简体" w:hint="eastAsia"/>
          <w:sz w:val="36"/>
          <w:szCs w:val="36"/>
        </w:rPr>
        <w:t>2020</w:t>
      </w:r>
      <w:r>
        <w:rPr>
          <w:rFonts w:ascii="方正小标宋简体" w:eastAsia="方正小标宋简体" w:hint="eastAsia"/>
          <w:sz w:val="36"/>
          <w:szCs w:val="36"/>
        </w:rPr>
        <w:t>年度司法研究重大课题</w:t>
      </w:r>
    </w:p>
    <w:p w:rsidR="002A3D52" w:rsidRDefault="00A90F68">
      <w:pPr>
        <w:jc w:val="center"/>
        <w:rPr>
          <w:rFonts w:ascii="方正小标宋简体" w:eastAsia="方正小标宋简体"/>
          <w:sz w:val="36"/>
          <w:szCs w:val="36"/>
        </w:rPr>
      </w:pPr>
      <w:r>
        <w:rPr>
          <w:rFonts w:ascii="方正小标宋简体" w:eastAsia="方正小标宋简体" w:hint="eastAsia"/>
          <w:sz w:val="36"/>
          <w:szCs w:val="36"/>
        </w:rPr>
        <w:t>及研究重点</w:t>
      </w:r>
    </w:p>
    <w:bookmarkEnd w:id="0"/>
    <w:p w:rsidR="002A3D52" w:rsidRDefault="002A3D52">
      <w:pPr>
        <w:rPr>
          <w:rFonts w:ascii="黑体" w:eastAsia="黑体" w:hAnsi="黑体"/>
          <w:sz w:val="30"/>
          <w:szCs w:val="30"/>
        </w:rPr>
      </w:pPr>
    </w:p>
    <w:p w:rsidR="002A3D52" w:rsidRDefault="00A90F68">
      <w:pPr>
        <w:rPr>
          <w:rFonts w:ascii="黑体" w:eastAsia="黑体" w:hAnsi="黑体"/>
          <w:sz w:val="32"/>
          <w:szCs w:val="32"/>
        </w:rPr>
      </w:pPr>
      <w:r>
        <w:rPr>
          <w:rFonts w:ascii="黑体" w:eastAsia="黑体" w:hAnsi="黑体" w:hint="eastAsia"/>
          <w:sz w:val="32"/>
          <w:szCs w:val="32"/>
        </w:rPr>
        <w:t xml:space="preserve">    1.</w:t>
      </w:r>
      <w:r>
        <w:rPr>
          <w:rFonts w:ascii="黑体" w:eastAsia="黑体" w:hAnsi="黑体" w:hint="eastAsia"/>
          <w:sz w:val="32"/>
          <w:szCs w:val="32"/>
        </w:rPr>
        <w:t>新时代加强人民法院政治与文化建设研究</w:t>
      </w:r>
    </w:p>
    <w:p w:rsidR="002A3D52" w:rsidRDefault="00A90F68">
      <w:pPr>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Times New Roman" w:eastAsia="仿宋_GB2312" w:hAnsi="Times New Roman" w:hint="eastAsia"/>
          <w:sz w:val="32"/>
          <w:szCs w:val="32"/>
        </w:rPr>
        <w:t>研究梳理西方“宪政”“三权分立”“司法独立”等司法领域意识形态的典型错误观点和政治陷阱，</w:t>
      </w:r>
      <w:r>
        <w:rPr>
          <w:rFonts w:ascii="仿宋_GB2312" w:eastAsia="仿宋_GB2312" w:hint="eastAsia"/>
          <w:sz w:val="32"/>
          <w:szCs w:val="32"/>
        </w:rPr>
        <w:t>总结分析各级法院政治建设和文化建设实践过程中存在的问题，</w:t>
      </w:r>
      <w:r>
        <w:rPr>
          <w:rFonts w:ascii="Times New Roman" w:eastAsia="仿宋_GB2312" w:hint="eastAsia"/>
          <w:sz w:val="32"/>
        </w:rPr>
        <w:t>完善人民法院坚持党对司法工作绝对领导、坚持中国特色社会主义法治道路的制度机制，</w:t>
      </w:r>
      <w:r>
        <w:rPr>
          <w:rFonts w:ascii="Times New Roman" w:eastAsia="仿宋_GB2312" w:hAnsi="Times New Roman" w:hint="eastAsia"/>
          <w:sz w:val="32"/>
          <w:szCs w:val="32"/>
        </w:rPr>
        <w:t>创建</w:t>
      </w:r>
      <w:r>
        <w:rPr>
          <w:rFonts w:ascii="仿宋_GB2312" w:eastAsia="仿宋_GB2312" w:hint="eastAsia"/>
          <w:sz w:val="32"/>
          <w:szCs w:val="32"/>
        </w:rPr>
        <w:t>以培育社会主义法治信仰为重点的法院文化建设的现实路径。</w:t>
      </w:r>
    </w:p>
    <w:p w:rsidR="002A3D52" w:rsidRDefault="00A90F68">
      <w:pPr>
        <w:rPr>
          <w:rFonts w:ascii="黑体" w:eastAsia="黑体" w:hAnsi="黑体"/>
          <w:sz w:val="32"/>
          <w:szCs w:val="32"/>
        </w:rPr>
      </w:pPr>
      <w:r>
        <w:rPr>
          <w:rFonts w:ascii="黑体" w:eastAsia="黑体" w:hAnsi="黑体" w:hint="eastAsia"/>
          <w:sz w:val="32"/>
          <w:szCs w:val="32"/>
        </w:rPr>
        <w:t xml:space="preserve">    2.</w:t>
      </w:r>
      <w:r>
        <w:rPr>
          <w:rFonts w:ascii="黑体" w:eastAsia="黑体" w:hAnsi="黑体" w:hint="eastAsia"/>
          <w:sz w:val="32"/>
          <w:szCs w:val="32"/>
        </w:rPr>
        <w:t>为统筹推进疫情防控和经济社会发展提供司法服务保障研究</w:t>
      </w:r>
    </w:p>
    <w:p w:rsidR="002A3D52" w:rsidRDefault="00A90F68">
      <w:pPr>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人民法院在服务保障统筹推进新冠肺炎疫情防控和经济社会发展中的职能定位、司法理念、工作机制以及有益经验；疫情防控期间和后期有关热点难点法律问题；针对新情况新问题明确涉疫情案件司法标准和程序，保障疫情防控和复工复产在法治轨道上运行。</w:t>
      </w:r>
    </w:p>
    <w:p w:rsidR="002A3D52" w:rsidRDefault="00A90F68">
      <w:pPr>
        <w:rPr>
          <w:rFonts w:ascii="黑体" w:eastAsia="黑体" w:hAnsi="黑体"/>
          <w:sz w:val="32"/>
          <w:szCs w:val="32"/>
        </w:rPr>
      </w:pPr>
      <w:r>
        <w:rPr>
          <w:rFonts w:ascii="黑体" w:eastAsia="黑体" w:hAnsi="黑体" w:hint="eastAsia"/>
          <w:sz w:val="32"/>
          <w:szCs w:val="32"/>
        </w:rPr>
        <w:t xml:space="preserve">    3.</w:t>
      </w:r>
      <w:r>
        <w:rPr>
          <w:rFonts w:ascii="黑体" w:eastAsia="黑体" w:hAnsi="黑体" w:hint="eastAsia"/>
          <w:sz w:val="32"/>
          <w:szCs w:val="32"/>
        </w:rPr>
        <w:t>妇女儿童老年人权益司法保护研究</w:t>
      </w:r>
    </w:p>
    <w:p w:rsidR="002A3D52" w:rsidRDefault="00A90F68">
      <w:pPr>
        <w:ind w:firstLineChars="196" w:firstLine="630"/>
        <w:rPr>
          <w:rFonts w:ascii="仿宋_GB2312" w:eastAsia="仿宋_GB2312"/>
          <w:sz w:val="32"/>
          <w:szCs w:val="32"/>
        </w:rPr>
      </w:pPr>
      <w:r>
        <w:rPr>
          <w:rFonts w:ascii="仿宋_GB2312" w:eastAsia="仿宋_GB2312" w:hint="eastAsia"/>
          <w:b/>
          <w:sz w:val="32"/>
          <w:szCs w:val="32"/>
        </w:rPr>
        <w:t>研究重点：</w:t>
      </w:r>
      <w:r>
        <w:rPr>
          <w:rFonts w:ascii="仿宋_GB2312" w:eastAsia="仿宋_GB2312" w:hint="eastAsia"/>
          <w:sz w:val="32"/>
          <w:szCs w:val="32"/>
        </w:rPr>
        <w:t>为老年人追索赡养费、农村留守儿童保护、追索抚养费等案件审判情况；家事审判改革面临的瓶颈和需</w:t>
      </w:r>
      <w:r>
        <w:rPr>
          <w:rFonts w:ascii="仿宋_GB2312" w:eastAsia="仿宋_GB2312" w:hint="eastAsia"/>
          <w:sz w:val="32"/>
          <w:szCs w:val="32"/>
        </w:rPr>
        <w:lastRenderedPageBreak/>
        <w:t>要解决的问题；家事审判程序改革对妇女儿童老年人权益保护的影响。</w:t>
      </w:r>
    </w:p>
    <w:p w:rsidR="002A3D52" w:rsidRDefault="00A90F68">
      <w:pPr>
        <w:rPr>
          <w:rFonts w:ascii="黑体" w:eastAsia="黑体" w:hAnsi="黑体"/>
          <w:sz w:val="32"/>
          <w:szCs w:val="32"/>
        </w:rPr>
      </w:pPr>
      <w:r>
        <w:rPr>
          <w:rFonts w:ascii="黑体" w:eastAsia="黑体" w:hAnsi="黑体" w:hint="eastAsia"/>
          <w:sz w:val="32"/>
          <w:szCs w:val="32"/>
        </w:rPr>
        <w:t xml:space="preserve">    4.</w:t>
      </w:r>
      <w:r>
        <w:rPr>
          <w:rFonts w:ascii="黑体" w:eastAsia="黑体" w:hAnsi="黑体" w:hint="eastAsia"/>
          <w:sz w:val="32"/>
          <w:szCs w:val="32"/>
        </w:rPr>
        <w:t>互联网司法治理能力现代化研究</w:t>
      </w:r>
    </w:p>
    <w:p w:rsidR="002A3D52" w:rsidRDefault="00A90F68">
      <w:pPr>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人民法院发挥审判职</w:t>
      </w:r>
      <w:r>
        <w:rPr>
          <w:rFonts w:ascii="仿宋_GB2312" w:eastAsia="仿宋_GB2312" w:hint="eastAsia"/>
          <w:sz w:val="32"/>
          <w:szCs w:val="32"/>
        </w:rPr>
        <w:t>能作用，加强互联网条件下意识形态工作，完善社会主义核心价值观融入互联网审判工作机制，促进网络社会治理能力和国家治理能力现代化的重要意义、特点优势、理念原则、实践经验、工作局限及完善建议等。</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5.</w:t>
      </w:r>
      <w:r>
        <w:rPr>
          <w:rFonts w:ascii="黑体" w:eastAsia="黑体" w:hAnsi="黑体" w:hint="eastAsia"/>
          <w:sz w:val="32"/>
          <w:szCs w:val="32"/>
        </w:rPr>
        <w:t>人民法院统一法律适用机制问题研究</w:t>
      </w:r>
    </w:p>
    <w:p w:rsidR="002A3D52" w:rsidRDefault="00A90F68">
      <w:pPr>
        <w:pStyle w:val="a4"/>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健全审判委员会工作机制，完善相关议事程序和议事规则；探索设置多层次多类型的专业法官会议，明确制度功能，完善工作机制；完善指导性案例工作机制，建立地方法院办案指导文件审查备案机制，避免不同地区办案标准的不合理差异。</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6.</w:t>
      </w:r>
      <w:r>
        <w:rPr>
          <w:rFonts w:ascii="黑体" w:eastAsia="黑体" w:hAnsi="黑体" w:hint="eastAsia"/>
          <w:sz w:val="32"/>
          <w:szCs w:val="32"/>
        </w:rPr>
        <w:t>危害国家安全案件证据标准和诉讼程序研究</w:t>
      </w:r>
    </w:p>
    <w:p w:rsidR="002A3D52" w:rsidRDefault="00A90F68">
      <w:pPr>
        <w:pStyle w:val="a4"/>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危害国家安全罪名的构成要件及证明标准；办理危害国家安全案件的原则、总体要求、法律适用、证据收集与运用规则等；案件管辖范围，密级鉴定和情报鉴定的性质、标准和工作程序等问题；技术侦查措施获取的证据移送、使用以及缺席审判、适用认罪认罚从宽制度等程序问题。</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7.</w:t>
      </w:r>
      <w:r>
        <w:rPr>
          <w:rFonts w:ascii="黑体" w:eastAsia="黑体" w:hAnsi="黑体" w:hint="eastAsia"/>
          <w:sz w:val="32"/>
          <w:szCs w:val="32"/>
        </w:rPr>
        <w:t>精神病鉴定与死刑适用问题研究</w:t>
      </w:r>
    </w:p>
    <w:p w:rsidR="002A3D52" w:rsidRDefault="00A90F68">
      <w:pPr>
        <w:pStyle w:val="a4"/>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死刑案件中精神病鉴定（含吸毒致</w:t>
      </w:r>
      <w:proofErr w:type="gramStart"/>
      <w:r>
        <w:rPr>
          <w:rFonts w:ascii="仿宋_GB2312" w:eastAsia="仿宋_GB2312" w:hint="eastAsia"/>
          <w:sz w:val="32"/>
          <w:szCs w:val="32"/>
        </w:rPr>
        <w:t>幻案件</w:t>
      </w:r>
      <w:proofErr w:type="gramEnd"/>
      <w:r>
        <w:rPr>
          <w:rFonts w:ascii="仿宋_GB2312" w:eastAsia="仿宋_GB2312" w:hint="eastAsia"/>
          <w:sz w:val="32"/>
          <w:szCs w:val="32"/>
        </w:rPr>
        <w:t>的</w:t>
      </w:r>
      <w:r>
        <w:rPr>
          <w:rFonts w:ascii="仿宋_GB2312" w:eastAsia="仿宋_GB2312" w:hint="eastAsia"/>
          <w:sz w:val="32"/>
          <w:szCs w:val="32"/>
        </w:rPr>
        <w:lastRenderedPageBreak/>
        <w:t>刑事责任能力鉴定）的现状及存在的问题；限制责任能力精神病人的死刑适用；完善精神病鉴定及死刑适用政策的建议。</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8.</w:t>
      </w:r>
      <w:r>
        <w:rPr>
          <w:rFonts w:ascii="黑体" w:eastAsia="黑体" w:hAnsi="黑体" w:hint="eastAsia"/>
          <w:sz w:val="32"/>
          <w:szCs w:val="32"/>
        </w:rPr>
        <w:t>信息网络犯罪司法适用疑难问题研究</w:t>
      </w:r>
    </w:p>
    <w:p w:rsidR="002A3D52" w:rsidRDefault="00A90F68">
      <w:pPr>
        <w:pStyle w:val="a4"/>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当前信息网络犯罪的态势与特点；办理信息网络犯罪案件适用刑法、刑事诉讼法规定的具体难题与解决方案。关于信息网络犯罪的法律适用问题，主要包括网络犯罪黑灰产业</w:t>
      </w:r>
      <w:proofErr w:type="gramStart"/>
      <w:r>
        <w:rPr>
          <w:rFonts w:ascii="仿宋_GB2312" w:eastAsia="仿宋_GB2312" w:hint="eastAsia"/>
          <w:sz w:val="32"/>
          <w:szCs w:val="32"/>
        </w:rPr>
        <w:t>链各个</w:t>
      </w:r>
      <w:proofErr w:type="gramEnd"/>
      <w:r>
        <w:rPr>
          <w:rFonts w:ascii="仿宋_GB2312" w:eastAsia="仿宋_GB2312" w:hint="eastAsia"/>
          <w:sz w:val="32"/>
          <w:szCs w:val="32"/>
        </w:rPr>
        <w:t>环节的罪名适用，窃取微信、支付宝余额的罪名定性，打码平台的刑事责任确定等问题，以及电子证据的审查运用、网络犯罪的管辖等程序问题。</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9.</w:t>
      </w:r>
      <w:r>
        <w:rPr>
          <w:rFonts w:ascii="黑体" w:eastAsia="黑体" w:hAnsi="黑体" w:hint="eastAsia"/>
          <w:sz w:val="32"/>
          <w:szCs w:val="32"/>
        </w:rPr>
        <w:t>民法典适用问题研究</w:t>
      </w:r>
    </w:p>
    <w:p w:rsidR="002A3D52" w:rsidRDefault="00A90F68">
      <w:pPr>
        <w:pStyle w:val="a4"/>
        <w:ind w:firstLineChars="196" w:firstLine="630"/>
        <w:rPr>
          <w:rFonts w:ascii="仿宋_GB2312" w:eastAsia="仿宋_GB2312"/>
          <w:sz w:val="32"/>
          <w:szCs w:val="32"/>
        </w:rPr>
      </w:pPr>
      <w:r>
        <w:rPr>
          <w:rFonts w:ascii="仿宋_GB2312" w:eastAsia="仿宋_GB2312" w:hint="eastAsia"/>
          <w:b/>
          <w:sz w:val="32"/>
          <w:szCs w:val="32"/>
        </w:rPr>
        <w:t>研究重点：</w:t>
      </w:r>
      <w:r>
        <w:rPr>
          <w:rFonts w:ascii="仿宋_GB2312" w:eastAsia="仿宋_GB2312" w:hint="eastAsia"/>
          <w:sz w:val="32"/>
          <w:szCs w:val="32"/>
        </w:rPr>
        <w:t>就民事立法新旧衔接适用、民法典总则</w:t>
      </w:r>
      <w:proofErr w:type="gramStart"/>
      <w:r>
        <w:rPr>
          <w:rFonts w:ascii="仿宋_GB2312" w:eastAsia="仿宋_GB2312" w:hint="eastAsia"/>
          <w:sz w:val="32"/>
          <w:szCs w:val="32"/>
        </w:rPr>
        <w:t>编规定</w:t>
      </w:r>
      <w:proofErr w:type="gramEnd"/>
      <w:r>
        <w:rPr>
          <w:rFonts w:ascii="仿宋_GB2312" w:eastAsia="仿宋_GB2312" w:hint="eastAsia"/>
          <w:sz w:val="32"/>
          <w:szCs w:val="32"/>
        </w:rPr>
        <w:t>的解释、《民通意见》及相关司法解释的废改、人格权法律适用以及民法典其他各编新增、重大修改条文，紧密结合立法原意、审判实践以及理论研</w:t>
      </w:r>
      <w:r>
        <w:rPr>
          <w:rFonts w:ascii="仿宋_GB2312" w:eastAsia="仿宋_GB2312" w:hint="eastAsia"/>
          <w:sz w:val="32"/>
          <w:szCs w:val="32"/>
        </w:rPr>
        <w:t>究成果，进行系统梳理，提出可行性法律适用意见建议。</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10.</w:t>
      </w:r>
      <w:r>
        <w:rPr>
          <w:rFonts w:ascii="黑体" w:eastAsia="黑体" w:hAnsi="黑体" w:hint="eastAsia"/>
          <w:sz w:val="32"/>
          <w:szCs w:val="32"/>
        </w:rPr>
        <w:t>营业信托纠纷案件审理中的法律问题研究</w:t>
      </w:r>
    </w:p>
    <w:p w:rsidR="002A3D52" w:rsidRDefault="00A90F68">
      <w:pPr>
        <w:pStyle w:val="a4"/>
        <w:ind w:firstLineChars="196" w:firstLine="630"/>
        <w:rPr>
          <w:rFonts w:ascii="仿宋_GB2312" w:eastAsia="仿宋_GB2312"/>
          <w:sz w:val="32"/>
          <w:szCs w:val="32"/>
        </w:rPr>
      </w:pPr>
      <w:r>
        <w:rPr>
          <w:rFonts w:ascii="仿宋_GB2312" w:eastAsia="仿宋_GB2312" w:hint="eastAsia"/>
          <w:b/>
          <w:sz w:val="32"/>
          <w:szCs w:val="32"/>
        </w:rPr>
        <w:t>研究重点：</w:t>
      </w:r>
      <w:r>
        <w:rPr>
          <w:rFonts w:ascii="仿宋_GB2312" w:eastAsia="仿宋_GB2312" w:hint="eastAsia"/>
          <w:sz w:val="32"/>
          <w:szCs w:val="32"/>
        </w:rPr>
        <w:t>明确信托合同的成立与生效要件，信托合同的有效与无效认定及其法律后果；依法可以作为信托财产的范围；股权作为信托财产时，信托公司的持股责任与公司一般股东信托责任的联系与区别；勤勉尽责受托人义务的司法认定标准以及受托人的赔偿责任范围。</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11.</w:t>
      </w:r>
      <w:r>
        <w:rPr>
          <w:rFonts w:ascii="黑体" w:eastAsia="黑体" w:hAnsi="黑体" w:hint="eastAsia"/>
          <w:sz w:val="32"/>
          <w:szCs w:val="32"/>
        </w:rPr>
        <w:t>涉外知识产权纠纷中国司法管辖权问题研究</w:t>
      </w:r>
    </w:p>
    <w:p w:rsidR="002A3D52" w:rsidRDefault="00A90F68">
      <w:pPr>
        <w:pStyle w:val="a4"/>
        <w:ind w:firstLineChars="147" w:firstLine="472"/>
        <w:rPr>
          <w:rFonts w:ascii="仿宋_GB2312" w:eastAsia="仿宋_GB2312"/>
          <w:sz w:val="32"/>
          <w:szCs w:val="32"/>
        </w:rPr>
      </w:pPr>
      <w:r>
        <w:rPr>
          <w:rFonts w:ascii="仿宋_GB2312" w:eastAsia="仿宋_GB2312" w:hint="eastAsia"/>
          <w:b/>
          <w:sz w:val="32"/>
          <w:szCs w:val="32"/>
        </w:rPr>
        <w:lastRenderedPageBreak/>
        <w:t xml:space="preserve"> </w:t>
      </w:r>
      <w:r>
        <w:rPr>
          <w:rFonts w:ascii="仿宋_GB2312" w:eastAsia="仿宋_GB2312" w:hint="eastAsia"/>
          <w:b/>
          <w:sz w:val="32"/>
          <w:szCs w:val="32"/>
        </w:rPr>
        <w:t>研究重点：</w:t>
      </w:r>
      <w:r>
        <w:rPr>
          <w:rFonts w:ascii="仿宋_GB2312" w:eastAsia="仿宋_GB2312" w:hint="eastAsia"/>
          <w:sz w:val="32"/>
          <w:szCs w:val="32"/>
        </w:rPr>
        <w:t>探讨</w:t>
      </w:r>
      <w:proofErr w:type="gramStart"/>
      <w:r>
        <w:rPr>
          <w:rFonts w:ascii="仿宋_GB2312" w:eastAsia="仿宋_GB2312" w:hint="eastAsia"/>
          <w:sz w:val="32"/>
          <w:szCs w:val="32"/>
        </w:rPr>
        <w:t>以禁诉令</w:t>
      </w:r>
      <w:proofErr w:type="gramEnd"/>
      <w:r>
        <w:rPr>
          <w:rFonts w:ascii="仿宋_GB2312" w:eastAsia="仿宋_GB2312" w:hint="eastAsia"/>
          <w:sz w:val="32"/>
          <w:szCs w:val="32"/>
        </w:rPr>
        <w:t>、</w:t>
      </w:r>
      <w:proofErr w:type="gramStart"/>
      <w:r>
        <w:rPr>
          <w:rFonts w:ascii="仿宋_GB2312" w:eastAsia="仿宋_GB2312" w:hint="eastAsia"/>
          <w:sz w:val="32"/>
          <w:szCs w:val="32"/>
        </w:rPr>
        <w:t>反禁诉</w:t>
      </w:r>
      <w:proofErr w:type="gramEnd"/>
      <w:r>
        <w:rPr>
          <w:rFonts w:ascii="仿宋_GB2312" w:eastAsia="仿宋_GB2312" w:hint="eastAsia"/>
          <w:sz w:val="32"/>
          <w:szCs w:val="32"/>
        </w:rPr>
        <w:t>令以及当事人在我国提起确认之诉等手段，构建维护我国法院对涉外知识产权纠纷所享有的司法主权及保护当事人正当权益的机制。</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12.</w:t>
      </w:r>
      <w:r>
        <w:rPr>
          <w:rFonts w:ascii="黑体" w:eastAsia="黑体" w:hAnsi="黑体" w:hint="eastAsia"/>
          <w:sz w:val="32"/>
          <w:szCs w:val="32"/>
        </w:rPr>
        <w:t>我国国际商事法庭运行机制研究</w:t>
      </w:r>
    </w:p>
    <w:p w:rsidR="002A3D52" w:rsidRDefault="00A90F68">
      <w:pPr>
        <w:pStyle w:val="a4"/>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我国国际商事法庭的设立背景和运行情况以及面临的问题和困难；域外国家国际商事法庭发展态势的比较研究；完善国际商事法庭运行机制的对策。</w:t>
      </w:r>
    </w:p>
    <w:p w:rsidR="002A3D52" w:rsidRDefault="00A90F68">
      <w:pPr>
        <w:rPr>
          <w:rFonts w:ascii="黑体" w:eastAsia="黑体" w:hAnsi="黑体"/>
          <w:sz w:val="32"/>
          <w:szCs w:val="32"/>
        </w:rPr>
      </w:pPr>
      <w:r>
        <w:rPr>
          <w:rFonts w:ascii="黑体" w:eastAsia="黑体" w:hAnsi="黑体" w:hint="eastAsia"/>
          <w:sz w:val="32"/>
          <w:szCs w:val="32"/>
        </w:rPr>
        <w:t xml:space="preserve">    13.</w:t>
      </w:r>
      <w:r>
        <w:rPr>
          <w:rFonts w:ascii="黑体" w:eastAsia="黑体" w:hAnsi="黑体" w:hint="eastAsia"/>
          <w:sz w:val="32"/>
          <w:szCs w:val="32"/>
        </w:rPr>
        <w:t>行政争议</w:t>
      </w:r>
      <w:proofErr w:type="gramStart"/>
      <w:r>
        <w:rPr>
          <w:rFonts w:ascii="黑体" w:eastAsia="黑体" w:hAnsi="黑体" w:hint="eastAsia"/>
          <w:sz w:val="32"/>
          <w:szCs w:val="32"/>
        </w:rPr>
        <w:t>诉源治理</w:t>
      </w:r>
      <w:proofErr w:type="gramEnd"/>
      <w:r>
        <w:rPr>
          <w:rFonts w:ascii="黑体" w:eastAsia="黑体" w:hAnsi="黑体" w:hint="eastAsia"/>
          <w:sz w:val="32"/>
          <w:szCs w:val="32"/>
        </w:rPr>
        <w:t>机制研究</w:t>
      </w:r>
    </w:p>
    <w:p w:rsidR="002A3D52" w:rsidRDefault="00A90F68">
      <w:pPr>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完善行政争议化解司法行政协作机制；坚持问题导向，探索涉诉行政争议应对、甄别、化解效率优化机制；强化诉外行政机关主导的争议化解机制。</w:t>
      </w:r>
    </w:p>
    <w:p w:rsidR="002A3D52" w:rsidRDefault="00A90F68">
      <w:pPr>
        <w:pStyle w:val="a4"/>
        <w:ind w:firstLineChars="0" w:firstLine="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 xml:space="preserve">   14.</w:t>
      </w:r>
      <w:r>
        <w:rPr>
          <w:rFonts w:ascii="黑体" w:eastAsia="黑体" w:hAnsi="黑体" w:hint="eastAsia"/>
          <w:sz w:val="32"/>
          <w:szCs w:val="32"/>
        </w:rPr>
        <w:t>互联网时代电子诉讼规则研究</w:t>
      </w:r>
    </w:p>
    <w:p w:rsidR="002A3D52" w:rsidRDefault="00A90F68">
      <w:pPr>
        <w:pStyle w:val="a4"/>
        <w:ind w:firstLineChars="147" w:firstLine="472"/>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研究重点：</w:t>
      </w:r>
      <w:r>
        <w:rPr>
          <w:rFonts w:ascii="仿宋_GB2312" w:eastAsia="仿宋_GB2312" w:hint="eastAsia"/>
          <w:sz w:val="32"/>
          <w:szCs w:val="32"/>
        </w:rPr>
        <w:t>电子诉讼的基本原则；线上立案、在线庭审、电子送达的条件、范围和方式；电子化材料的效力以及裁判生效标准等。</w:t>
      </w:r>
    </w:p>
    <w:p w:rsidR="002A3D52" w:rsidRDefault="002A3D52"/>
    <w:sectPr w:rsidR="002A3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8722F2"/>
    <w:rsid w:val="002A3D52"/>
    <w:rsid w:val="00A90F68"/>
    <w:rsid w:val="4187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75429-5BB4-4032-8221-3CBD3DD2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kern w:val="0"/>
      <w:sz w:val="18"/>
      <w:szCs w:val="18"/>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Words>
  <Characters>1539</Characters>
  <Application>Microsoft Office Word</Application>
  <DocSecurity>0</DocSecurity>
  <Lines>12</Lines>
  <Paragraphs>3</Paragraphs>
  <ScaleCrop>false</ScaleCrop>
  <Company>安徽工程大学</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大象大象</dc:creator>
  <cp:lastModifiedBy>张浩</cp:lastModifiedBy>
  <cp:revision>2</cp:revision>
  <dcterms:created xsi:type="dcterms:W3CDTF">2020-05-15T00:16:00Z</dcterms:created>
  <dcterms:modified xsi:type="dcterms:W3CDTF">2020-05-15T00:16:00Z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