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240" w:after="60" w:line="360" w:lineRule="auto"/>
        <w:jc w:val="center"/>
        <w:outlineLvl w:val="0"/>
        <w:rPr>
          <w:rFonts w:ascii="黑体" w:hAnsi="黑体" w:eastAsia="黑体" w:cs="黑体"/>
          <w:sz w:val="36"/>
          <w:szCs w:val="36"/>
          <w:shd w:val="clear" w:color="auto" w:fill="FFFFFF"/>
        </w:rPr>
      </w:pPr>
      <w:bookmarkStart w:id="0" w:name="_Toc112035582"/>
      <w:r>
        <w:rPr>
          <w:rFonts w:hint="eastAsia" w:ascii="黑体" w:hAnsi="黑体" w:eastAsia="黑体" w:cs="黑体"/>
          <w:sz w:val="36"/>
          <w:szCs w:val="36"/>
          <w:shd w:val="clear" w:color="auto" w:fill="FFFFFF"/>
        </w:rPr>
        <w:t>2024年度科研计划（哲学社会科学）类别及要求</w:t>
      </w:r>
      <w:bookmarkEnd w:id="0"/>
    </w:p>
    <w:p>
      <w:pPr>
        <w:snapToGrid w:val="0"/>
        <w:spacing w:line="360" w:lineRule="auto"/>
        <w:ind w:firstLine="602" w:firstLineChars="200"/>
        <w:outlineLvl w:val="1"/>
        <w:rPr>
          <w:rFonts w:ascii="Times New Roman" w:hAnsi="Times New Roman" w:eastAsia="仿宋" w:cs="Times New Roman"/>
          <w:sz w:val="30"/>
          <w:szCs w:val="30"/>
          <w:shd w:val="clear" w:color="auto" w:fill="FFFFFF"/>
        </w:rPr>
      </w:pPr>
      <w:bookmarkStart w:id="1" w:name="_Toc112008645"/>
      <w:bookmarkStart w:id="2" w:name="_Toc112035583"/>
      <w:r>
        <w:rPr>
          <w:rFonts w:ascii="Times New Roman" w:hAnsi="Times New Roman" w:eastAsia="仿宋" w:cs="Times New Roman"/>
          <w:b/>
          <w:bCs/>
          <w:sz w:val="30"/>
          <w:szCs w:val="30"/>
          <w:shd w:val="clear" w:color="auto" w:fill="FFFFFF"/>
        </w:rPr>
        <w:t>一、类别及要求</w:t>
      </w:r>
    </w:p>
    <w:p>
      <w:pPr>
        <w:snapToGrid w:val="0"/>
        <w:spacing w:line="360" w:lineRule="auto"/>
        <w:ind w:firstLine="600" w:firstLineChars="200"/>
        <w:outlineLvl w:val="1"/>
        <w:rPr>
          <w:rFonts w:ascii="Times New Roman" w:hAnsi="Times New Roman" w:eastAsia="仿宋" w:cs="Times New Roman"/>
          <w:b/>
          <w:bCs/>
          <w:sz w:val="30"/>
          <w:szCs w:val="30"/>
          <w:shd w:val="clear" w:color="auto" w:fill="FFFFFF"/>
        </w:rPr>
      </w:pPr>
      <w:r>
        <w:rPr>
          <w:rFonts w:ascii="Times New Roman" w:hAnsi="Times New Roman" w:eastAsia="仿宋" w:cs="Times New Roman"/>
          <w:sz w:val="30"/>
          <w:szCs w:val="30"/>
          <w:shd w:val="clear" w:color="auto" w:fill="FFFFFF"/>
        </w:rPr>
        <w:t>在符合省教育厅通知中各类科研计划项目编制指南的基础上，我校202</w:t>
      </w:r>
      <w:r>
        <w:rPr>
          <w:rFonts w:hint="eastAsia" w:ascii="Times New Roman" w:hAnsi="Times New Roman" w:eastAsia="仿宋" w:cs="Times New Roman"/>
          <w:sz w:val="30"/>
          <w:szCs w:val="30"/>
          <w:shd w:val="clear" w:color="auto" w:fill="FFFFFF"/>
        </w:rPr>
        <w:t>4</w:t>
      </w:r>
      <w:r>
        <w:rPr>
          <w:rFonts w:ascii="Times New Roman" w:hAnsi="Times New Roman" w:eastAsia="仿宋" w:cs="Times New Roman"/>
          <w:sz w:val="30"/>
          <w:szCs w:val="30"/>
          <w:shd w:val="clear" w:color="auto" w:fill="FFFFFF"/>
        </w:rPr>
        <w:t>年度哲学社会科学科研计划类别及要求如下：</w:t>
      </w:r>
      <w:bookmarkEnd w:id="1"/>
      <w:bookmarkEnd w:id="2"/>
    </w:p>
    <w:p>
      <w:pPr>
        <w:snapToGrid w:val="0"/>
        <w:spacing w:after="60" w:line="360" w:lineRule="auto"/>
        <w:ind w:firstLine="596" w:firstLineChars="198"/>
        <w:outlineLvl w:val="2"/>
        <w:rPr>
          <w:rFonts w:ascii="Times New Roman" w:hAnsi="Times New Roman" w:eastAsia="仿宋" w:cs="Times New Roman"/>
          <w:b/>
          <w:bCs/>
          <w:kern w:val="28"/>
          <w:sz w:val="30"/>
          <w:szCs w:val="30"/>
          <w:shd w:val="clear" w:color="auto" w:fill="FFFFFF"/>
        </w:rPr>
      </w:pPr>
      <w:bookmarkStart w:id="3" w:name="_Toc112035584"/>
      <w:r>
        <w:rPr>
          <w:rFonts w:ascii="Times New Roman" w:hAnsi="Times New Roman" w:eastAsia="仿宋" w:cs="Times New Roman"/>
          <w:b/>
          <w:bCs/>
          <w:kern w:val="28"/>
          <w:sz w:val="30"/>
          <w:szCs w:val="30"/>
          <w:shd w:val="clear" w:color="auto" w:fill="FFFFFF"/>
        </w:rPr>
        <w:t>1.安徽省高校哲学社会科学优秀科研创新团队</w:t>
      </w:r>
      <w:bookmarkEnd w:id="3"/>
    </w:p>
    <w:p>
      <w:pPr>
        <w:snapToGrid w:val="0"/>
        <w:spacing w:line="360" w:lineRule="auto"/>
        <w:ind w:firstLine="602" w:firstLineChars="200"/>
        <w:rPr>
          <w:rFonts w:ascii="Times New Roman" w:hAnsi="Times New Roman" w:eastAsia="仿宋" w:cs="Times New Roman"/>
          <w:sz w:val="30"/>
          <w:szCs w:val="30"/>
          <w:u w:val="single"/>
        </w:rPr>
      </w:pPr>
      <w:r>
        <w:rPr>
          <w:rFonts w:ascii="Times New Roman" w:hAnsi="Times New Roman" w:eastAsia="仿宋" w:cs="Times New Roman"/>
          <w:b/>
          <w:bCs/>
          <w:sz w:val="30"/>
          <w:szCs w:val="30"/>
        </w:rPr>
        <w:t>（1）</w:t>
      </w:r>
      <w:r>
        <w:rPr>
          <w:rFonts w:hint="eastAsia" w:ascii="Times New Roman" w:hAnsi="Times New Roman" w:eastAsia="仿宋" w:cs="Times New Roman"/>
          <w:b/>
          <w:bCs/>
          <w:sz w:val="30"/>
          <w:szCs w:val="30"/>
        </w:rPr>
        <w:t>支持计划：</w:t>
      </w:r>
      <w:r>
        <w:rPr>
          <w:rFonts w:hint="eastAsia" w:ascii="Times New Roman" w:hAnsi="Times New Roman" w:eastAsia="仿宋" w:cs="Times New Roman"/>
          <w:sz w:val="30"/>
          <w:szCs w:val="30"/>
        </w:rPr>
        <w:t>项目建设目标，基本条件，立项范围、申报与评审和支持措施与管理详见《安徽省高校年度科研计划项目编制指南（人文社会科学类）》。</w:t>
      </w:r>
    </w:p>
    <w:p>
      <w:pPr>
        <w:snapToGrid w:val="0"/>
        <w:spacing w:line="360" w:lineRule="auto"/>
        <w:ind w:firstLine="602" w:firstLineChars="200"/>
        <w:rPr>
          <w:rFonts w:ascii="Times New Roman" w:hAnsi="Times New Roman" w:eastAsia="仿宋" w:cs="Times New Roman"/>
          <w:sz w:val="30"/>
          <w:szCs w:val="30"/>
        </w:rPr>
      </w:pPr>
      <w:r>
        <w:rPr>
          <w:rFonts w:ascii="Times New Roman" w:hAnsi="Times New Roman" w:eastAsia="仿宋" w:cs="Times New Roman"/>
          <w:b/>
          <w:bCs/>
          <w:sz w:val="30"/>
          <w:szCs w:val="30"/>
        </w:rPr>
        <w:t>（</w:t>
      </w:r>
      <w:r>
        <w:rPr>
          <w:rFonts w:hint="eastAsia" w:ascii="Times New Roman" w:hAnsi="Times New Roman" w:eastAsia="仿宋" w:cs="Times New Roman"/>
          <w:b/>
          <w:bCs/>
          <w:sz w:val="30"/>
          <w:szCs w:val="30"/>
        </w:rPr>
        <w:t>2</w:t>
      </w:r>
      <w:r>
        <w:rPr>
          <w:rFonts w:ascii="Times New Roman" w:hAnsi="Times New Roman" w:eastAsia="仿宋" w:cs="Times New Roman"/>
          <w:b/>
          <w:bCs/>
          <w:sz w:val="30"/>
          <w:szCs w:val="30"/>
        </w:rPr>
        <w:t>）绩效目标考核：</w:t>
      </w:r>
      <w:r>
        <w:rPr>
          <w:rFonts w:ascii="Times New Roman" w:hAnsi="Times New Roman" w:eastAsia="仿宋" w:cs="Times New Roman"/>
          <w:sz w:val="30"/>
          <w:szCs w:val="30"/>
        </w:rPr>
        <w:t>创新团队的绩效考核目标根据创新团队的人员构成和研究期限确定。具体为项目负责人不少于20科研分值/年，创新团队中具有正高级职称的人员不低于15科研分值/年，具有副高级职称的人员不低于10科研分值/年，其他人员不低于8科研分值/年。团队整体年均考核指数按照如下方式计算：年均指数=20+15*正高级人数+10*副高级人数+8*其他人员人数。指数计算办法参照附录。</w:t>
      </w:r>
    </w:p>
    <w:p>
      <w:pPr>
        <w:snapToGrid w:val="0"/>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备注：其中正高级、副高级和其他人员人数为去除团队负责人以外的人数。</w:t>
      </w:r>
    </w:p>
    <w:p>
      <w:pPr>
        <w:snapToGrid w:val="0"/>
        <w:spacing w:line="360" w:lineRule="auto"/>
        <w:ind w:firstLine="600"/>
        <w:rPr>
          <w:rFonts w:ascii="Times New Roman" w:hAnsi="Times New Roman" w:eastAsia="仿宋" w:cs="Times New Roman"/>
          <w:b/>
          <w:sz w:val="30"/>
          <w:szCs w:val="30"/>
        </w:rPr>
      </w:pPr>
      <w:r>
        <w:rPr>
          <w:rFonts w:ascii="Times New Roman" w:hAnsi="Times New Roman" w:eastAsia="仿宋" w:cs="Times New Roman"/>
          <w:b/>
          <w:sz w:val="30"/>
          <w:szCs w:val="30"/>
        </w:rPr>
        <w:t>（</w:t>
      </w:r>
      <w:r>
        <w:rPr>
          <w:rFonts w:hint="eastAsia" w:ascii="Times New Roman" w:hAnsi="Times New Roman" w:eastAsia="仿宋" w:cs="Times New Roman"/>
          <w:b/>
          <w:sz w:val="30"/>
          <w:szCs w:val="30"/>
          <w:lang w:val="en-US" w:eastAsia="zh-CN"/>
        </w:rPr>
        <w:t>3</w:t>
      </w:r>
      <w:r>
        <w:rPr>
          <w:rFonts w:ascii="Times New Roman" w:hAnsi="Times New Roman" w:eastAsia="仿宋" w:cs="Times New Roman"/>
          <w:b/>
          <w:sz w:val="30"/>
          <w:szCs w:val="30"/>
        </w:rPr>
        <w:t>）结题条件：</w:t>
      </w:r>
    </w:p>
    <w:p>
      <w:pPr>
        <w:numPr>
          <w:ilvl w:val="0"/>
          <w:numId w:val="1"/>
        </w:numPr>
        <w:snapToGrid w:val="0"/>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创新团队立项期间团队成员满足以下条件之一可直接通过结题</w:t>
      </w:r>
      <w:r>
        <w:rPr>
          <w:rFonts w:hint="eastAsia" w:ascii="Times New Roman" w:hAnsi="仿宋" w:eastAsia="仿宋" w:cs="Times New Roman"/>
          <w:b/>
          <w:bCs/>
          <w:sz w:val="30"/>
          <w:szCs w:val="30"/>
        </w:rPr>
        <w:t>（各级科研项目、论文、奖项具体类别详见附表1、附表2、附表3）</w:t>
      </w:r>
      <w:r>
        <w:rPr>
          <w:rFonts w:ascii="Times New Roman" w:hAnsi="Times New Roman" w:eastAsia="仿宋" w:cs="Times New Roman"/>
          <w:sz w:val="30"/>
          <w:szCs w:val="30"/>
        </w:rPr>
        <w:t>：</w:t>
      </w:r>
    </w:p>
    <w:p>
      <w:pPr>
        <w:snapToGrid w:val="0"/>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A.主持获1级科研项目一项及以上，或2级科研项目两项及以上，或3级科研项目三项及以上，或4级科研项目五项及以上；</w:t>
      </w:r>
    </w:p>
    <w:p>
      <w:pPr>
        <w:snapToGrid w:val="0"/>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B.第一作者或第一通讯，且安徽工程大学为第一单位发表3级科研论文1篇及以上，或4级科研论文2篇及以上；</w:t>
      </w:r>
    </w:p>
    <w:p>
      <w:pPr>
        <w:snapToGrid w:val="0"/>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C.获2</w:t>
      </w:r>
      <w:r>
        <w:rPr>
          <w:rFonts w:hint="eastAsia" w:ascii="Times New Roman" w:hAnsi="Times New Roman" w:eastAsia="仿宋" w:cs="Times New Roman"/>
          <w:sz w:val="30"/>
          <w:szCs w:val="30"/>
        </w:rPr>
        <w:t>级</w:t>
      </w:r>
      <w:r>
        <w:rPr>
          <w:rFonts w:ascii="Times New Roman" w:hAnsi="Times New Roman" w:eastAsia="仿宋" w:cs="Times New Roman"/>
          <w:sz w:val="30"/>
          <w:szCs w:val="30"/>
        </w:rPr>
        <w:t>以上科研奖励一项及以上；或3</w:t>
      </w:r>
      <w:r>
        <w:rPr>
          <w:rFonts w:hint="eastAsia" w:ascii="Times New Roman" w:hAnsi="Times New Roman" w:eastAsia="仿宋" w:cs="Times New Roman"/>
          <w:sz w:val="30"/>
          <w:szCs w:val="30"/>
        </w:rPr>
        <w:t>级</w:t>
      </w:r>
      <w:r>
        <w:rPr>
          <w:rFonts w:ascii="Times New Roman" w:hAnsi="Times New Roman" w:eastAsia="仿宋" w:cs="Times New Roman"/>
          <w:sz w:val="30"/>
          <w:szCs w:val="30"/>
        </w:rPr>
        <w:t>科研奖励一项及以上，且排名第一，且安徽工程大学为第一完成单位；或4</w:t>
      </w:r>
      <w:r>
        <w:rPr>
          <w:rFonts w:hint="eastAsia" w:ascii="Times New Roman" w:hAnsi="Times New Roman" w:eastAsia="仿宋" w:cs="Times New Roman"/>
          <w:sz w:val="30"/>
          <w:szCs w:val="30"/>
        </w:rPr>
        <w:t>级</w:t>
      </w:r>
      <w:r>
        <w:rPr>
          <w:rFonts w:ascii="Times New Roman" w:hAnsi="Times New Roman" w:eastAsia="仿宋" w:cs="Times New Roman"/>
          <w:sz w:val="30"/>
          <w:szCs w:val="30"/>
        </w:rPr>
        <w:t>科研奖两项，且排名第一，且安徽工程大学为第一完成单位。</w:t>
      </w:r>
    </w:p>
    <w:p>
      <w:pPr>
        <w:snapToGrid w:val="0"/>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D.创新团队立项期间获批国家或教育部创新团队计划项目。</w:t>
      </w:r>
    </w:p>
    <w:p>
      <w:pPr>
        <w:numPr>
          <w:ilvl w:val="0"/>
          <w:numId w:val="1"/>
        </w:numPr>
        <w:snapToGrid w:val="0"/>
        <w:spacing w:line="360" w:lineRule="auto"/>
        <w:rPr>
          <w:rFonts w:ascii="Times New Roman" w:hAnsi="Times New Roman" w:eastAsia="仿宋" w:cs="Times New Roman"/>
          <w:sz w:val="30"/>
          <w:szCs w:val="30"/>
        </w:rPr>
      </w:pPr>
      <w:r>
        <w:rPr>
          <w:rFonts w:ascii="Times New Roman" w:hAnsi="Times New Roman" w:eastAsia="仿宋" w:cs="Times New Roman"/>
          <w:sz w:val="30"/>
          <w:szCs w:val="30"/>
        </w:rPr>
        <w:t>创新团队科研分值考核：未达到直接通过结题条件的，进行科研分值考核。完成任务书目标，具体为项目负责人不少于20科研分值/年，创新团队中具有正高级职称的人员不低于15科研分值/年，具有副高级职称的人员不低于10科研分值/年，其他人员不低于8科研分值/年。团队整体年均考核指数按照如下方式计算：年均指数=20+15*正高级人数+10*副高级人数+8*其他人员人数。</w:t>
      </w:r>
    </w:p>
    <w:p>
      <w:pPr>
        <w:snapToGrid w:val="0"/>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备注：其中正高级、副高级和其他人员人数为去除团队负责人以外的人数。</w:t>
      </w:r>
    </w:p>
    <w:p>
      <w:pPr>
        <w:snapToGrid w:val="0"/>
        <w:spacing w:line="360" w:lineRule="auto"/>
        <w:ind w:firstLine="600" w:firstLineChars="200"/>
        <w:rPr>
          <w:rFonts w:ascii="Times New Roman" w:hAnsi="Times New Roman" w:eastAsia="仿宋" w:cs="Times New Roman"/>
          <w:sz w:val="30"/>
          <w:szCs w:val="30"/>
        </w:rPr>
      </w:pPr>
    </w:p>
    <w:p>
      <w:pPr>
        <w:snapToGrid w:val="0"/>
        <w:spacing w:after="60" w:line="360" w:lineRule="auto"/>
        <w:ind w:firstLine="596" w:firstLineChars="198"/>
        <w:outlineLvl w:val="2"/>
        <w:rPr>
          <w:rFonts w:ascii="Times New Roman" w:hAnsi="Times New Roman" w:eastAsia="仿宋" w:cs="Times New Roman"/>
          <w:b/>
          <w:bCs/>
          <w:kern w:val="28"/>
          <w:sz w:val="30"/>
          <w:szCs w:val="30"/>
          <w:shd w:val="clear" w:color="auto" w:fill="FFFFFF"/>
        </w:rPr>
      </w:pPr>
      <w:bookmarkStart w:id="4" w:name="_Toc112035585"/>
      <w:r>
        <w:rPr>
          <w:rFonts w:ascii="Times New Roman" w:hAnsi="Times New Roman" w:eastAsia="仿宋" w:cs="Times New Roman"/>
          <w:b/>
          <w:bCs/>
          <w:kern w:val="28"/>
          <w:sz w:val="30"/>
          <w:szCs w:val="30"/>
          <w:shd w:val="clear" w:color="auto" w:fill="FFFFFF"/>
        </w:rPr>
        <w:t>2.安徽省高校哲学社会科学杰出青年科研项目</w:t>
      </w:r>
      <w:bookmarkEnd w:id="4"/>
    </w:p>
    <w:p>
      <w:pPr>
        <w:snapToGrid w:val="0"/>
        <w:spacing w:line="360" w:lineRule="auto"/>
        <w:ind w:firstLine="602" w:firstLineChars="200"/>
        <w:rPr>
          <w:rFonts w:ascii="Times New Roman" w:hAnsi="Times New Roman" w:eastAsia="仿宋" w:cs="Times New Roman"/>
          <w:sz w:val="30"/>
          <w:szCs w:val="30"/>
        </w:rPr>
      </w:pPr>
      <w:r>
        <w:rPr>
          <w:rFonts w:ascii="Times New Roman" w:hAnsi="Times New Roman" w:eastAsia="仿宋" w:cs="Times New Roman"/>
          <w:b/>
          <w:bCs/>
          <w:sz w:val="30"/>
          <w:szCs w:val="30"/>
        </w:rPr>
        <w:t>（1）</w:t>
      </w:r>
      <w:r>
        <w:rPr>
          <w:rFonts w:hint="eastAsia" w:ascii="Times New Roman" w:hAnsi="Times New Roman" w:eastAsia="仿宋" w:cs="Times New Roman"/>
          <w:b/>
          <w:bCs/>
          <w:sz w:val="30"/>
          <w:szCs w:val="30"/>
        </w:rPr>
        <w:t>支持计划：</w:t>
      </w:r>
      <w:r>
        <w:rPr>
          <w:rFonts w:hint="eastAsia" w:ascii="Times New Roman" w:hAnsi="Times New Roman" w:eastAsia="仿宋" w:cs="Times New Roman"/>
          <w:sz w:val="30"/>
          <w:szCs w:val="30"/>
        </w:rPr>
        <w:t>项目建设目标，基本条件，立项范围、申报与评审和支持措施与管理详见《安徽省高校年度科研计划项目编制指南（人文社会科学类）》。</w:t>
      </w:r>
    </w:p>
    <w:p>
      <w:pPr>
        <w:snapToGrid w:val="0"/>
        <w:spacing w:line="360" w:lineRule="auto"/>
        <w:ind w:firstLine="602" w:firstLineChars="200"/>
        <w:rPr>
          <w:rFonts w:ascii="Times New Roman" w:hAnsi="Times New Roman" w:eastAsia="仿宋" w:cs="Times New Roman"/>
          <w:sz w:val="30"/>
          <w:szCs w:val="30"/>
        </w:rPr>
      </w:pPr>
      <w:r>
        <w:rPr>
          <w:rFonts w:ascii="Times New Roman" w:hAnsi="Times New Roman" w:eastAsia="仿宋" w:cs="Times New Roman"/>
          <w:b/>
          <w:bCs/>
          <w:sz w:val="30"/>
          <w:szCs w:val="30"/>
        </w:rPr>
        <w:t>（</w:t>
      </w:r>
      <w:r>
        <w:rPr>
          <w:rFonts w:hint="eastAsia" w:ascii="Times New Roman" w:hAnsi="Times New Roman" w:eastAsia="仿宋" w:cs="Times New Roman"/>
          <w:b/>
          <w:bCs/>
          <w:sz w:val="30"/>
          <w:szCs w:val="30"/>
        </w:rPr>
        <w:t>2</w:t>
      </w:r>
      <w:r>
        <w:rPr>
          <w:rFonts w:ascii="Times New Roman" w:hAnsi="Times New Roman" w:eastAsia="仿宋" w:cs="Times New Roman"/>
          <w:b/>
          <w:bCs/>
          <w:sz w:val="30"/>
          <w:szCs w:val="30"/>
        </w:rPr>
        <w:t>）绩效目标考核：</w:t>
      </w:r>
      <w:r>
        <w:rPr>
          <w:rFonts w:ascii="Times New Roman" w:hAnsi="Times New Roman" w:eastAsia="仿宋" w:cs="Times New Roman"/>
          <w:sz w:val="30"/>
          <w:szCs w:val="30"/>
        </w:rPr>
        <w:t>杰青项目的绩效考核目标根据团队的人员构成和研究期限确定，仅考核团队排名前三人员（含负责人），具体为：杰青项目负责人不少于15科研分值/年，被考核成员中具有正高级职称的人员不低于10科研分值/年、具有副高级职称的人员不低于8科研分值/年、其他人员不低于5科研分值/年。团队整体年均考核分值按照如下方式计算：年均分值=15+10*正高级人数+8*副高级人数+5*其他人员人数。分值计算办法参照附录。</w:t>
      </w:r>
    </w:p>
    <w:p>
      <w:pPr>
        <w:snapToGrid w:val="0"/>
        <w:spacing w:line="360" w:lineRule="auto"/>
        <w:ind w:firstLine="602" w:firstLineChars="200"/>
        <w:rPr>
          <w:rFonts w:ascii="Times New Roman" w:hAnsi="Times New Roman" w:eastAsia="仿宋" w:cs="Times New Roman"/>
          <w:b/>
          <w:sz w:val="30"/>
          <w:szCs w:val="30"/>
        </w:rPr>
      </w:pPr>
      <w:r>
        <w:rPr>
          <w:rFonts w:ascii="Times New Roman" w:hAnsi="Times New Roman" w:eastAsia="仿宋" w:cs="Times New Roman"/>
          <w:b/>
          <w:bCs/>
          <w:sz w:val="30"/>
          <w:szCs w:val="30"/>
        </w:rPr>
        <w:t>（</w:t>
      </w:r>
      <w:r>
        <w:rPr>
          <w:rFonts w:hint="eastAsia" w:ascii="Times New Roman" w:hAnsi="Times New Roman" w:eastAsia="仿宋" w:cs="Times New Roman"/>
          <w:b/>
          <w:bCs/>
          <w:sz w:val="30"/>
          <w:szCs w:val="30"/>
          <w:lang w:val="en-US" w:eastAsia="zh-CN"/>
        </w:rPr>
        <w:t>3</w:t>
      </w:r>
      <w:r>
        <w:rPr>
          <w:rFonts w:ascii="Times New Roman" w:hAnsi="Times New Roman" w:eastAsia="仿宋" w:cs="Times New Roman"/>
          <w:b/>
          <w:bCs/>
          <w:sz w:val="30"/>
          <w:szCs w:val="30"/>
        </w:rPr>
        <w:t>）</w:t>
      </w:r>
      <w:r>
        <w:rPr>
          <w:rFonts w:ascii="Times New Roman" w:hAnsi="Times New Roman" w:eastAsia="仿宋" w:cs="Times New Roman"/>
          <w:b/>
          <w:sz w:val="30"/>
          <w:szCs w:val="30"/>
        </w:rPr>
        <w:t>结题条件：</w:t>
      </w:r>
    </w:p>
    <w:p>
      <w:pPr>
        <w:numPr>
          <w:ilvl w:val="0"/>
          <w:numId w:val="2"/>
        </w:numPr>
        <w:snapToGrid w:val="0"/>
        <w:spacing w:line="360" w:lineRule="auto"/>
        <w:rPr>
          <w:rFonts w:ascii="Times New Roman" w:hAnsi="Times New Roman" w:eastAsia="仿宋" w:cs="Times New Roman"/>
          <w:sz w:val="30"/>
          <w:szCs w:val="30"/>
        </w:rPr>
      </w:pPr>
      <w:r>
        <w:rPr>
          <w:rFonts w:ascii="Times New Roman" w:hAnsi="Times New Roman" w:eastAsia="仿宋" w:cs="Times New Roman"/>
          <w:sz w:val="30"/>
          <w:szCs w:val="30"/>
        </w:rPr>
        <w:t>杰出青年科研项目在研期间项目负责人满足以下条件之一可直接通过结题</w:t>
      </w:r>
      <w:r>
        <w:rPr>
          <w:rFonts w:hint="eastAsia" w:ascii="Times New Roman" w:hAnsi="仿宋" w:eastAsia="仿宋" w:cs="Times New Roman"/>
          <w:b/>
          <w:bCs/>
          <w:sz w:val="30"/>
          <w:szCs w:val="30"/>
        </w:rPr>
        <w:t>（各级科研项目、论文、奖项具体类别详见附表1、附表2、附表3）</w:t>
      </w:r>
      <w:r>
        <w:rPr>
          <w:rFonts w:ascii="Times New Roman" w:hAnsi="Times New Roman" w:eastAsia="仿宋" w:cs="Times New Roman"/>
          <w:sz w:val="30"/>
          <w:szCs w:val="30"/>
        </w:rPr>
        <w:t>：</w:t>
      </w:r>
    </w:p>
    <w:p>
      <w:pPr>
        <w:snapToGrid w:val="0"/>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A.获批国家杰出青年科学基金项目；</w:t>
      </w:r>
    </w:p>
    <w:p>
      <w:pPr>
        <w:snapToGrid w:val="0"/>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B.获3级科研项目1项，且发表5级以上科研论文3篇；</w:t>
      </w:r>
    </w:p>
    <w:p>
      <w:pPr>
        <w:snapToGrid w:val="0"/>
        <w:spacing w:line="360" w:lineRule="auto"/>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C.获3</w:t>
      </w:r>
      <w:r>
        <w:rPr>
          <w:rFonts w:hint="eastAsia" w:ascii="Times New Roman" w:hAnsi="Times New Roman" w:eastAsia="仿宋" w:cs="Times New Roman"/>
          <w:sz w:val="30"/>
          <w:szCs w:val="30"/>
        </w:rPr>
        <w:t>级</w:t>
      </w:r>
      <w:r>
        <w:rPr>
          <w:rFonts w:ascii="Times New Roman" w:hAnsi="Times New Roman" w:eastAsia="仿宋" w:cs="Times New Roman"/>
          <w:sz w:val="30"/>
          <w:szCs w:val="30"/>
        </w:rPr>
        <w:t>科研奖励1项及以上，且排名前三；或4</w:t>
      </w:r>
      <w:r>
        <w:rPr>
          <w:rFonts w:hint="eastAsia" w:ascii="Times New Roman" w:hAnsi="Times New Roman" w:eastAsia="仿宋" w:cs="Times New Roman"/>
          <w:sz w:val="30"/>
          <w:szCs w:val="30"/>
        </w:rPr>
        <w:t>级</w:t>
      </w:r>
      <w:r>
        <w:rPr>
          <w:rFonts w:ascii="Times New Roman" w:hAnsi="Times New Roman" w:eastAsia="仿宋" w:cs="Times New Roman"/>
          <w:sz w:val="30"/>
          <w:szCs w:val="30"/>
        </w:rPr>
        <w:t>科研奖励1项，且排名第一。</w:t>
      </w:r>
    </w:p>
    <w:p>
      <w:pPr>
        <w:numPr>
          <w:ilvl w:val="0"/>
          <w:numId w:val="2"/>
        </w:numPr>
        <w:snapToGrid w:val="0"/>
        <w:spacing w:line="360" w:lineRule="auto"/>
        <w:rPr>
          <w:rFonts w:ascii="Times New Roman" w:hAnsi="Times New Roman" w:eastAsia="仿宋" w:cs="Times New Roman"/>
          <w:sz w:val="30"/>
          <w:szCs w:val="30"/>
        </w:rPr>
      </w:pPr>
      <w:r>
        <w:rPr>
          <w:rFonts w:ascii="Times New Roman" w:hAnsi="Times New Roman" w:eastAsia="仿宋" w:cs="Times New Roman"/>
          <w:b/>
          <w:bCs/>
          <w:sz w:val="30"/>
          <w:szCs w:val="30"/>
        </w:rPr>
        <w:t>杰出青年科研项目科研分值考核：</w:t>
      </w:r>
      <w:r>
        <w:rPr>
          <w:rFonts w:ascii="Times New Roman" w:hAnsi="Times New Roman" w:eastAsia="仿宋" w:cs="Times New Roman"/>
          <w:sz w:val="30"/>
          <w:szCs w:val="30"/>
        </w:rPr>
        <w:t>未达到直接通过结题条件的，进行科研分值考核，仅考核团队排名前三人员（含负责人），具体为：杰青项目负责人不少于15科研分值/年，被考核成员中具有正高级职称的人员不低于10科研分值/年、具有副高级职称的人员不低于8科研分值/年、其他人员不低于5科研分值/年。团队整体年均考核分值按照如下方式计算：年均分值=15+10*正高级人数+8*副高级人数+5*其他人员人数。分值计算办法参照附录。</w:t>
      </w:r>
    </w:p>
    <w:p>
      <w:pPr>
        <w:numPr>
          <w:numId w:val="0"/>
        </w:numPr>
        <w:snapToGrid w:val="0"/>
        <w:spacing w:line="360" w:lineRule="auto"/>
        <w:ind w:left="400" w:leftChars="0"/>
        <w:rPr>
          <w:rFonts w:ascii="Times New Roman" w:hAnsi="Times New Roman" w:eastAsia="仿宋" w:cs="Times New Roman"/>
          <w:sz w:val="30"/>
          <w:szCs w:val="30"/>
        </w:rPr>
      </w:pPr>
    </w:p>
    <w:p>
      <w:pPr>
        <w:snapToGrid w:val="0"/>
        <w:spacing w:after="60" w:line="360" w:lineRule="auto"/>
        <w:ind w:firstLine="596" w:firstLineChars="198"/>
        <w:outlineLvl w:val="2"/>
        <w:rPr>
          <w:rFonts w:ascii="Times New Roman" w:hAnsi="Times New Roman" w:eastAsia="仿宋" w:cs="Times New Roman"/>
          <w:b/>
          <w:bCs/>
          <w:kern w:val="28"/>
          <w:sz w:val="30"/>
          <w:szCs w:val="30"/>
          <w:shd w:val="clear" w:color="auto" w:fill="FFFFFF"/>
        </w:rPr>
      </w:pPr>
      <w:bookmarkStart w:id="5" w:name="_Toc112035586"/>
      <w:r>
        <w:rPr>
          <w:rFonts w:ascii="Times New Roman" w:hAnsi="Times New Roman" w:eastAsia="仿宋" w:cs="Times New Roman"/>
          <w:b/>
          <w:bCs/>
          <w:kern w:val="28"/>
          <w:sz w:val="30"/>
          <w:szCs w:val="30"/>
          <w:shd w:val="clear" w:color="auto" w:fill="FFFFFF"/>
        </w:rPr>
        <w:t>3.安徽省高校哲学社会科学优秀青年科研项目</w:t>
      </w:r>
      <w:bookmarkEnd w:id="5"/>
    </w:p>
    <w:p>
      <w:pPr>
        <w:adjustRightInd w:val="0"/>
        <w:snapToGrid w:val="0"/>
        <w:spacing w:line="540" w:lineRule="exact"/>
        <w:ind w:firstLine="602" w:firstLineChars="200"/>
        <w:rPr>
          <w:rFonts w:ascii="Times New Roman" w:hAnsi="Times New Roman" w:eastAsia="仿宋" w:cs="Times New Roman"/>
          <w:sz w:val="30"/>
          <w:szCs w:val="30"/>
        </w:rPr>
      </w:pPr>
      <w:r>
        <w:rPr>
          <w:rFonts w:ascii="Times New Roman" w:hAnsi="Times New Roman" w:eastAsia="仿宋" w:cs="Times New Roman"/>
          <w:b/>
          <w:bCs/>
          <w:sz w:val="30"/>
          <w:szCs w:val="30"/>
        </w:rPr>
        <w:t>（1）</w:t>
      </w:r>
      <w:r>
        <w:rPr>
          <w:rFonts w:hint="eastAsia" w:ascii="Times New Roman" w:hAnsi="Times New Roman" w:eastAsia="仿宋" w:cs="Times New Roman"/>
          <w:b/>
          <w:bCs/>
          <w:sz w:val="30"/>
          <w:szCs w:val="30"/>
        </w:rPr>
        <w:t>支持计划：</w:t>
      </w:r>
      <w:r>
        <w:rPr>
          <w:rFonts w:hint="eastAsia" w:ascii="Times New Roman" w:hAnsi="Times New Roman" w:eastAsia="仿宋" w:cs="Times New Roman"/>
          <w:sz w:val="30"/>
          <w:szCs w:val="30"/>
        </w:rPr>
        <w:t>项目建设目标，基本条件，立项范围、申报与评审和支持措施与管理详见《安徽省高校年度科研计划项目编制指南（人文社会科学类）》。</w:t>
      </w:r>
    </w:p>
    <w:p>
      <w:pPr>
        <w:adjustRightInd w:val="0"/>
        <w:snapToGrid w:val="0"/>
        <w:spacing w:line="540" w:lineRule="exact"/>
        <w:ind w:firstLine="602" w:firstLineChars="200"/>
        <w:rPr>
          <w:rFonts w:ascii="Times New Roman" w:hAnsi="Times New Roman" w:eastAsia="仿宋" w:cs="Times New Roman"/>
          <w:b/>
          <w:bCs/>
          <w:sz w:val="30"/>
          <w:szCs w:val="30"/>
        </w:rPr>
      </w:pPr>
      <w:r>
        <w:rPr>
          <w:rFonts w:ascii="Times New Roman" w:hAnsi="Times New Roman" w:eastAsia="仿宋" w:cs="Times New Roman"/>
          <w:b/>
          <w:bCs/>
          <w:sz w:val="30"/>
          <w:szCs w:val="30"/>
        </w:rPr>
        <w:t>（</w:t>
      </w:r>
      <w:r>
        <w:rPr>
          <w:rFonts w:hint="eastAsia" w:ascii="Times New Roman" w:hAnsi="Times New Roman" w:eastAsia="仿宋" w:cs="Times New Roman"/>
          <w:b/>
          <w:bCs/>
          <w:sz w:val="30"/>
          <w:szCs w:val="30"/>
        </w:rPr>
        <w:t>2</w:t>
      </w:r>
      <w:r>
        <w:rPr>
          <w:rFonts w:ascii="Times New Roman" w:hAnsi="Times New Roman" w:eastAsia="仿宋" w:cs="Times New Roman"/>
          <w:b/>
          <w:bCs/>
          <w:sz w:val="30"/>
          <w:szCs w:val="30"/>
        </w:rPr>
        <w:t>）绩效目标考核：</w:t>
      </w:r>
      <w:r>
        <w:rPr>
          <w:rFonts w:ascii="Times New Roman" w:hAnsi="Times New Roman" w:eastAsia="仿宋" w:cs="Times New Roman"/>
          <w:sz w:val="30"/>
          <w:szCs w:val="30"/>
        </w:rPr>
        <w:t>优青项目的绩效考核目标根据团队的人员构成和研究期限确定，仅考核团队排名前三人员（含负责人），具体为：优青项目负责人不少于10科研分值/年，被考核成员中具有正高级职称的人员不低于8科研分值/年、具有副高级职称的人员不低于5科研分值/年、其他人员不低于3科研分值/年。团队整体年均考核分值按照如下方式计算：年均分值=10+8*正高级人数+5*副高级人数+3*其他人员人数。分值计算办法参照附录。</w:t>
      </w:r>
    </w:p>
    <w:p>
      <w:pPr>
        <w:adjustRightInd w:val="0"/>
        <w:snapToGrid w:val="0"/>
        <w:spacing w:line="540" w:lineRule="exact"/>
        <w:ind w:firstLine="602" w:firstLineChars="200"/>
        <w:rPr>
          <w:rFonts w:ascii="Times New Roman" w:hAnsi="Times New Roman" w:eastAsia="仿宋" w:cs="Times New Roman"/>
          <w:b/>
          <w:bCs/>
          <w:sz w:val="30"/>
          <w:szCs w:val="30"/>
        </w:rPr>
      </w:pPr>
      <w:r>
        <w:rPr>
          <w:rFonts w:ascii="Times New Roman" w:hAnsi="Times New Roman" w:eastAsia="仿宋" w:cs="Times New Roman"/>
          <w:b/>
          <w:bCs/>
          <w:sz w:val="30"/>
          <w:szCs w:val="30"/>
        </w:rPr>
        <w:t>（</w:t>
      </w:r>
      <w:r>
        <w:rPr>
          <w:rFonts w:hint="eastAsia" w:ascii="Times New Roman" w:hAnsi="Times New Roman" w:eastAsia="仿宋" w:cs="Times New Roman"/>
          <w:b/>
          <w:bCs/>
          <w:sz w:val="30"/>
          <w:szCs w:val="30"/>
          <w:lang w:val="en-US" w:eastAsia="zh-CN"/>
        </w:rPr>
        <w:t>3</w:t>
      </w:r>
      <w:r>
        <w:rPr>
          <w:rFonts w:ascii="Times New Roman" w:hAnsi="Times New Roman" w:eastAsia="仿宋" w:cs="Times New Roman"/>
          <w:b/>
          <w:bCs/>
          <w:sz w:val="30"/>
          <w:szCs w:val="30"/>
        </w:rPr>
        <w:t>）结题条件：</w:t>
      </w:r>
    </w:p>
    <w:p>
      <w:pPr>
        <w:numPr>
          <w:ilvl w:val="0"/>
          <w:numId w:val="3"/>
        </w:numPr>
        <w:adjustRightInd w:val="0"/>
        <w:snapToGrid w:val="0"/>
        <w:spacing w:line="540" w:lineRule="exact"/>
        <w:rPr>
          <w:rFonts w:ascii="Times New Roman" w:hAnsi="Times New Roman" w:eastAsia="仿宋" w:cs="Times New Roman"/>
          <w:sz w:val="30"/>
          <w:szCs w:val="30"/>
        </w:rPr>
      </w:pPr>
      <w:r>
        <w:rPr>
          <w:rFonts w:ascii="Times New Roman" w:hAnsi="Times New Roman" w:eastAsia="仿宋" w:cs="Times New Roman"/>
          <w:sz w:val="30"/>
          <w:szCs w:val="30"/>
        </w:rPr>
        <w:t>优秀青年科研项目在研期间项目负责人满足以下条件之一可直接通过结题</w:t>
      </w:r>
      <w:r>
        <w:rPr>
          <w:rFonts w:hint="eastAsia" w:ascii="Times New Roman" w:hAnsi="仿宋" w:eastAsia="仿宋" w:cs="Times New Roman"/>
          <w:b/>
          <w:bCs/>
          <w:sz w:val="30"/>
          <w:szCs w:val="30"/>
        </w:rPr>
        <w:t>（各级科研项目、论文、奖项具体类别详见附表1、附表2、附表3）</w:t>
      </w:r>
      <w:r>
        <w:rPr>
          <w:rFonts w:ascii="Times New Roman" w:hAnsi="Times New Roman" w:eastAsia="仿宋" w:cs="Times New Roman"/>
          <w:sz w:val="30"/>
          <w:szCs w:val="30"/>
        </w:rPr>
        <w:t>：</w:t>
      </w:r>
    </w:p>
    <w:p>
      <w:pPr>
        <w:adjustRightInd w:val="0"/>
        <w:snapToGrid w:val="0"/>
        <w:spacing w:line="540" w:lineRule="exact"/>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A.获国家优秀青年科学基金项目资助；</w:t>
      </w:r>
    </w:p>
    <w:p>
      <w:pPr>
        <w:adjustRightInd w:val="0"/>
        <w:snapToGrid w:val="0"/>
        <w:spacing w:line="540" w:lineRule="exact"/>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B.获3级科研项目1项，且发表5级以上科研论文1篇；</w:t>
      </w:r>
    </w:p>
    <w:p>
      <w:pPr>
        <w:adjustRightInd w:val="0"/>
        <w:snapToGrid w:val="0"/>
        <w:spacing w:line="540" w:lineRule="exact"/>
        <w:ind w:firstLine="600" w:firstLineChars="200"/>
        <w:rPr>
          <w:rFonts w:ascii="Times New Roman" w:hAnsi="Times New Roman" w:eastAsia="仿宋" w:cs="Times New Roman"/>
          <w:sz w:val="30"/>
          <w:szCs w:val="30"/>
        </w:rPr>
      </w:pPr>
      <w:r>
        <w:rPr>
          <w:rFonts w:ascii="Times New Roman" w:hAnsi="Times New Roman" w:eastAsia="仿宋" w:cs="Times New Roman"/>
          <w:sz w:val="30"/>
          <w:szCs w:val="30"/>
        </w:rPr>
        <w:t>C.获3</w:t>
      </w:r>
      <w:r>
        <w:rPr>
          <w:rFonts w:hint="eastAsia" w:ascii="Times New Roman" w:hAnsi="Times New Roman" w:eastAsia="仿宋" w:cs="Times New Roman"/>
          <w:sz w:val="30"/>
          <w:szCs w:val="30"/>
        </w:rPr>
        <w:t>级</w:t>
      </w:r>
      <w:r>
        <w:rPr>
          <w:rFonts w:ascii="Times New Roman" w:hAnsi="Times New Roman" w:eastAsia="仿宋" w:cs="Times New Roman"/>
          <w:sz w:val="30"/>
          <w:szCs w:val="30"/>
        </w:rPr>
        <w:t>科研奖励1项及以上，且排名前四；或4</w:t>
      </w:r>
      <w:r>
        <w:rPr>
          <w:rFonts w:hint="eastAsia" w:ascii="Times New Roman" w:hAnsi="Times New Roman" w:eastAsia="仿宋" w:cs="Times New Roman"/>
          <w:sz w:val="30"/>
          <w:szCs w:val="30"/>
        </w:rPr>
        <w:t>级</w:t>
      </w:r>
      <w:r>
        <w:rPr>
          <w:rFonts w:ascii="Times New Roman" w:hAnsi="Times New Roman" w:eastAsia="仿宋" w:cs="Times New Roman"/>
          <w:sz w:val="30"/>
          <w:szCs w:val="30"/>
        </w:rPr>
        <w:t>科研奖励一项，且排名第二；</w:t>
      </w:r>
    </w:p>
    <w:p>
      <w:pPr>
        <w:numPr>
          <w:ilvl w:val="0"/>
          <w:numId w:val="3"/>
        </w:numPr>
        <w:adjustRightInd w:val="0"/>
        <w:snapToGrid w:val="0"/>
        <w:spacing w:after="120" w:afterLines="50" w:line="540" w:lineRule="exact"/>
        <w:rPr>
          <w:rFonts w:ascii="Times New Roman" w:hAnsi="Times New Roman" w:eastAsia="仿宋" w:cs="Times New Roman"/>
          <w:sz w:val="30"/>
          <w:szCs w:val="30"/>
        </w:rPr>
      </w:pPr>
      <w:r>
        <w:rPr>
          <w:rFonts w:ascii="Times New Roman" w:hAnsi="Times New Roman" w:eastAsia="仿宋" w:cs="Times New Roman"/>
          <w:b/>
          <w:bCs/>
          <w:sz w:val="30"/>
          <w:szCs w:val="30"/>
        </w:rPr>
        <w:t>优秀青年科研项目科研分值考核：</w:t>
      </w:r>
      <w:r>
        <w:rPr>
          <w:rFonts w:ascii="Times New Roman" w:hAnsi="Times New Roman" w:eastAsia="仿宋" w:cs="Times New Roman"/>
          <w:sz w:val="30"/>
          <w:szCs w:val="30"/>
        </w:rPr>
        <w:t>未达到直接通过结题条件的，进行科研分值考核，仅考核团队排名前三人员（含负责人），具体为：优青项目负责人不少于10科研分值/年，被考核成员中具有正高级职称的人员不低于8科研分值/年、具有副高级职称的人员不低于5科研分值/年、其他人员不低于3科研分值/年。团队整体年均考核分值按照如下方式计算：年均分值=10+8*正高级人数+5*副高级人数+3*其他人员人数。分值计算办法参照附录。</w:t>
      </w:r>
    </w:p>
    <w:p>
      <w:pPr>
        <w:numPr>
          <w:numId w:val="0"/>
        </w:numPr>
        <w:adjustRightInd w:val="0"/>
        <w:snapToGrid w:val="0"/>
        <w:spacing w:after="120" w:afterLines="50" w:line="540" w:lineRule="exact"/>
        <w:ind w:left="400" w:leftChars="0"/>
        <w:rPr>
          <w:rFonts w:ascii="Times New Roman" w:hAnsi="Times New Roman" w:eastAsia="仿宋" w:cs="Times New Roman"/>
          <w:sz w:val="30"/>
          <w:szCs w:val="30"/>
        </w:rPr>
      </w:pPr>
    </w:p>
    <w:p>
      <w:pPr>
        <w:snapToGrid w:val="0"/>
        <w:spacing w:after="60" w:line="540" w:lineRule="exact"/>
        <w:ind w:firstLine="596" w:firstLineChars="198"/>
        <w:outlineLvl w:val="2"/>
        <w:rPr>
          <w:rFonts w:ascii="Times New Roman" w:hAnsi="Times New Roman" w:eastAsia="仿宋" w:cs="Times New Roman"/>
          <w:b/>
          <w:bCs/>
          <w:kern w:val="28"/>
          <w:sz w:val="30"/>
          <w:szCs w:val="30"/>
          <w:shd w:val="clear" w:color="auto" w:fill="FFFFFF"/>
        </w:rPr>
      </w:pPr>
      <w:bookmarkStart w:id="6" w:name="_Toc112035587"/>
      <w:r>
        <w:rPr>
          <w:rFonts w:ascii="Times New Roman" w:hAnsi="Times New Roman" w:eastAsia="仿宋" w:cs="Times New Roman"/>
          <w:b/>
          <w:bCs/>
          <w:kern w:val="28"/>
          <w:sz w:val="30"/>
          <w:szCs w:val="30"/>
          <w:shd w:val="clear" w:color="auto" w:fill="FFFFFF"/>
        </w:rPr>
        <w:t>4.安徽省高校哲学社会科学重点/重大科研项目</w:t>
      </w:r>
      <w:bookmarkEnd w:id="6"/>
    </w:p>
    <w:p>
      <w:pPr>
        <w:adjustRightInd w:val="0"/>
        <w:snapToGrid w:val="0"/>
        <w:spacing w:after="120" w:afterLines="50" w:line="540" w:lineRule="exact"/>
        <w:ind w:firstLine="602" w:firstLineChars="200"/>
        <w:rPr>
          <w:rFonts w:ascii="Times New Roman" w:hAnsi="Times New Roman" w:eastAsia="仿宋" w:cs="Times New Roman"/>
          <w:sz w:val="24"/>
          <w:szCs w:val="24"/>
          <w:shd w:val="clear" w:color="auto" w:fill="FFFFFF"/>
        </w:rPr>
      </w:pPr>
      <w:r>
        <w:rPr>
          <w:rFonts w:ascii="Times New Roman" w:hAnsi="Times New Roman" w:eastAsia="仿宋" w:cs="Times New Roman"/>
          <w:b/>
          <w:bCs/>
          <w:sz w:val="30"/>
          <w:szCs w:val="30"/>
        </w:rPr>
        <w:t>（1）</w:t>
      </w:r>
      <w:r>
        <w:rPr>
          <w:rFonts w:hint="eastAsia" w:ascii="Times New Roman" w:hAnsi="Times New Roman" w:eastAsia="仿宋" w:cs="Times New Roman"/>
          <w:b/>
          <w:bCs/>
          <w:sz w:val="30"/>
          <w:szCs w:val="30"/>
        </w:rPr>
        <w:t>支持计划：</w:t>
      </w:r>
      <w:r>
        <w:rPr>
          <w:rFonts w:hint="eastAsia" w:ascii="Times New Roman" w:hAnsi="Times New Roman" w:eastAsia="仿宋" w:cs="Times New Roman"/>
          <w:sz w:val="30"/>
          <w:szCs w:val="30"/>
        </w:rPr>
        <w:t>项目建设目标，基本条件，立项范围、申报与评审和支持措施与管理详见《安徽省高校年度科研计划项目编制指南（人文社会科学类）》。</w:t>
      </w:r>
    </w:p>
    <w:p>
      <w:pPr>
        <w:adjustRightInd w:val="0"/>
        <w:snapToGrid w:val="0"/>
        <w:spacing w:after="120" w:afterLines="50" w:line="540" w:lineRule="exact"/>
        <w:ind w:firstLine="602" w:firstLineChars="200"/>
        <w:rPr>
          <w:rFonts w:ascii="Times New Roman" w:hAnsi="Times New Roman" w:eastAsia="仿宋" w:cs="Times New Roman"/>
          <w:sz w:val="30"/>
          <w:szCs w:val="30"/>
        </w:rPr>
      </w:pPr>
      <w:r>
        <w:rPr>
          <w:rFonts w:ascii="Times New Roman" w:hAnsi="Times New Roman" w:eastAsia="仿宋" w:cs="Times New Roman"/>
          <w:b/>
          <w:bCs/>
          <w:sz w:val="30"/>
          <w:szCs w:val="30"/>
        </w:rPr>
        <w:t>（</w:t>
      </w:r>
      <w:r>
        <w:rPr>
          <w:rFonts w:hint="eastAsia" w:ascii="Times New Roman" w:hAnsi="Times New Roman" w:eastAsia="仿宋" w:cs="Times New Roman"/>
          <w:b/>
          <w:bCs/>
          <w:sz w:val="30"/>
          <w:szCs w:val="30"/>
        </w:rPr>
        <w:t>2</w:t>
      </w:r>
      <w:r>
        <w:rPr>
          <w:rFonts w:ascii="Times New Roman" w:hAnsi="Times New Roman" w:eastAsia="仿宋" w:cs="Times New Roman"/>
          <w:b/>
          <w:bCs/>
          <w:sz w:val="30"/>
          <w:szCs w:val="30"/>
        </w:rPr>
        <w:t>）绩效目标考核：</w:t>
      </w:r>
      <w:r>
        <w:rPr>
          <w:rFonts w:ascii="Times New Roman" w:hAnsi="Times New Roman" w:eastAsia="仿宋" w:cs="Times New Roman"/>
          <w:sz w:val="30"/>
          <w:szCs w:val="30"/>
        </w:rPr>
        <w:t>重大项目参照任务书目标，其中项目完成科研总分值&gt;30，分值仅统计团队排名前三人员（含负责人），且负责人不少于1/2、其他被考核成员分值&gt;0；重点项目参照任务书目标，其中项目完成科研总分值&gt;15，分值仅统计团队排名前三人员（含负责人），且负责人不少于1/2、其他被考核成员分值</w:t>
      </w:r>
      <w:bookmarkStart w:id="8" w:name="_GoBack"/>
      <w:bookmarkEnd w:id="8"/>
      <w:r>
        <w:rPr>
          <w:rFonts w:ascii="Times New Roman" w:hAnsi="Times New Roman" w:eastAsia="仿宋" w:cs="Times New Roman"/>
          <w:sz w:val="30"/>
          <w:szCs w:val="30"/>
        </w:rPr>
        <w:t>&gt;0，分值计算办法参照附录。</w:t>
      </w:r>
    </w:p>
    <w:p>
      <w:pPr>
        <w:snapToGrid w:val="0"/>
        <w:spacing w:line="540" w:lineRule="exact"/>
        <w:ind w:firstLine="480" w:firstLineChars="200"/>
        <w:outlineLvl w:val="1"/>
        <w:rPr>
          <w:rFonts w:ascii="Times New Roman" w:hAnsi="Times New Roman" w:eastAsia="仿宋" w:cs="Times New Roman"/>
          <w:sz w:val="24"/>
          <w:szCs w:val="24"/>
          <w:shd w:val="clear" w:color="auto" w:fill="FFFFFF"/>
        </w:rPr>
        <w:sectPr>
          <w:pgSz w:w="11906" w:h="16838"/>
          <w:pgMar w:top="1134" w:right="1134" w:bottom="1134" w:left="1134" w:header="851" w:footer="992" w:gutter="0"/>
          <w:cols w:space="425" w:num="1"/>
          <w:docGrid w:linePitch="312" w:charSpace="0"/>
        </w:sectPr>
      </w:pPr>
    </w:p>
    <w:p>
      <w:pPr>
        <w:snapToGrid w:val="0"/>
        <w:spacing w:line="540" w:lineRule="exact"/>
        <w:outlineLvl w:val="1"/>
        <w:rPr>
          <w:rFonts w:ascii="Times New Roman" w:hAnsi="Times New Roman" w:eastAsia="仿宋" w:cs="Times New Roman"/>
          <w:sz w:val="24"/>
          <w:szCs w:val="24"/>
          <w:shd w:val="clear" w:color="auto" w:fill="FFFFFF"/>
        </w:rPr>
        <w:sectPr>
          <w:type w:val="continuous"/>
          <w:pgSz w:w="11906" w:h="16838"/>
          <w:pgMar w:top="1134" w:right="1134" w:bottom="1134" w:left="1134" w:header="851" w:footer="992" w:gutter="0"/>
          <w:cols w:space="425" w:num="1"/>
          <w:docGrid w:linePitch="312" w:charSpace="0"/>
        </w:sectPr>
      </w:pPr>
    </w:p>
    <w:p>
      <w:pPr>
        <w:snapToGrid w:val="0"/>
        <w:spacing w:line="360" w:lineRule="auto"/>
        <w:ind w:firstLine="602" w:firstLineChars="200"/>
        <w:outlineLvl w:val="1"/>
        <w:rPr>
          <w:rFonts w:ascii="Times New Roman" w:hAnsi="仿宋" w:eastAsia="仿宋" w:cs="Times New Roman"/>
          <w:b/>
          <w:bCs/>
          <w:sz w:val="30"/>
          <w:szCs w:val="30"/>
          <w:shd w:val="clear" w:color="auto" w:fill="FFFFFF"/>
        </w:rPr>
      </w:pPr>
      <w:r>
        <w:rPr>
          <w:rFonts w:hint="eastAsia" w:ascii="Times New Roman" w:hAnsi="仿宋" w:eastAsia="仿宋" w:cs="Times New Roman"/>
          <w:b/>
          <w:bCs/>
          <w:sz w:val="30"/>
          <w:szCs w:val="30"/>
          <w:shd w:val="clear" w:color="auto" w:fill="FFFFFF"/>
        </w:rPr>
        <w:t>二、附录</w:t>
      </w:r>
    </w:p>
    <w:p>
      <w:pPr>
        <w:widowControl/>
        <w:jc w:val="center"/>
        <w:rPr>
          <w:rFonts w:ascii="Times New Roman" w:hAnsi="Times New Roman" w:eastAsia="黑体" w:cs="Times New Roman"/>
          <w:sz w:val="32"/>
          <w:szCs w:val="32"/>
        </w:rPr>
      </w:pPr>
      <w:r>
        <w:rPr>
          <w:rFonts w:hint="eastAsia" w:ascii="Times New Roman" w:hAnsi="Times New Roman" w:eastAsia="黑体" w:cs="Times New Roman"/>
          <w:sz w:val="32"/>
          <w:szCs w:val="32"/>
        </w:rPr>
        <w:t>表</w:t>
      </w:r>
      <w:r>
        <w:rPr>
          <w:rFonts w:ascii="Times New Roman" w:hAnsi="Times New Roman" w:eastAsia="黑体" w:cs="Times New Roman"/>
          <w:sz w:val="32"/>
          <w:szCs w:val="32"/>
        </w:rPr>
        <w:t>1</w:t>
      </w:r>
      <w:r>
        <w:rPr>
          <w:rFonts w:hint="eastAsia" w:ascii="Times New Roman" w:hAnsi="Times New Roman" w:eastAsia="黑体" w:cs="Times New Roman"/>
          <w:sz w:val="32"/>
          <w:szCs w:val="32"/>
        </w:rPr>
        <w:t>安徽工程大学科研项目级别分类表</w:t>
      </w:r>
    </w:p>
    <w:tbl>
      <w:tblPr>
        <w:tblStyle w:val="4"/>
        <w:tblW w:w="504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3"/>
        <w:gridCol w:w="908"/>
        <w:gridCol w:w="6516"/>
        <w:gridCol w:w="4752"/>
        <w:gridCol w:w="19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294" w:type="pct"/>
            <w:vMerge w:val="restart"/>
            <w:tcBorders>
              <w:top w:val="single" w:color="auto" w:sz="4" w:space="0"/>
              <w:left w:val="single" w:color="auto" w:sz="4" w:space="0"/>
              <w:right w:val="single" w:color="000000" w:sz="4" w:space="0"/>
            </w:tcBorders>
            <w:vAlign w:val="center"/>
          </w:tcPr>
          <w:p>
            <w:pPr>
              <w:spacing w:line="360" w:lineRule="exact"/>
              <w:jc w:val="center"/>
              <w:rPr>
                <w:rFonts w:ascii="仿宋_GB2312" w:hAnsi="宋体" w:eastAsia="仿宋_GB2312" w:cs="宋体"/>
                <w:b/>
                <w:kern w:val="0"/>
                <w:sz w:val="28"/>
                <w:szCs w:val="28"/>
              </w:rPr>
            </w:pPr>
            <w:r>
              <w:rPr>
                <w:rFonts w:hint="eastAsia" w:ascii="仿宋_GB2312" w:hAnsi="宋体" w:eastAsia="仿宋_GB2312" w:cs="宋体"/>
                <w:b/>
                <w:kern w:val="0"/>
                <w:sz w:val="28"/>
                <w:szCs w:val="28"/>
              </w:rPr>
              <w:t>项目</w:t>
            </w:r>
          </w:p>
          <w:p>
            <w:pPr>
              <w:spacing w:line="360" w:lineRule="exact"/>
              <w:jc w:val="center"/>
              <w:rPr>
                <w:rFonts w:ascii="仿宋_GB2312" w:hAnsi="宋体" w:eastAsia="仿宋_GB2312" w:cs="宋体"/>
                <w:b/>
                <w:kern w:val="0"/>
                <w:sz w:val="28"/>
                <w:szCs w:val="28"/>
              </w:rPr>
            </w:pPr>
            <w:r>
              <w:rPr>
                <w:rFonts w:hint="eastAsia" w:ascii="仿宋_GB2312" w:hAnsi="宋体" w:eastAsia="仿宋_GB2312" w:cs="宋体"/>
                <w:b/>
                <w:kern w:val="0"/>
                <w:sz w:val="28"/>
                <w:szCs w:val="28"/>
              </w:rPr>
              <w:t>类别</w:t>
            </w:r>
          </w:p>
        </w:tc>
        <w:tc>
          <w:tcPr>
            <w:tcW w:w="302" w:type="pct"/>
            <w:vMerge w:val="restart"/>
            <w:tcBorders>
              <w:top w:val="single" w:color="auto" w:sz="4" w:space="0"/>
              <w:left w:val="single" w:color="auto" w:sz="4" w:space="0"/>
              <w:right w:val="single" w:color="000000" w:sz="4" w:space="0"/>
            </w:tcBorders>
            <w:vAlign w:val="center"/>
          </w:tcPr>
          <w:p>
            <w:pPr>
              <w:spacing w:line="360" w:lineRule="exact"/>
              <w:jc w:val="center"/>
              <w:rPr>
                <w:rFonts w:ascii="仿宋_GB2312" w:hAnsi="宋体" w:eastAsia="仿宋_GB2312" w:cs="宋体"/>
                <w:b/>
                <w:kern w:val="0"/>
                <w:sz w:val="28"/>
                <w:szCs w:val="28"/>
              </w:rPr>
            </w:pPr>
            <w:r>
              <w:rPr>
                <w:rFonts w:hint="eastAsia" w:ascii="仿宋_GB2312" w:hAnsi="宋体" w:eastAsia="仿宋_GB2312" w:cs="宋体"/>
                <w:b/>
                <w:kern w:val="0"/>
                <w:sz w:val="28"/>
                <w:szCs w:val="28"/>
              </w:rPr>
              <w:t>科研</w:t>
            </w:r>
          </w:p>
          <w:p>
            <w:pPr>
              <w:spacing w:line="360" w:lineRule="exact"/>
              <w:jc w:val="center"/>
              <w:rPr>
                <w:rFonts w:ascii="仿宋_GB2312" w:hAnsi="宋体" w:eastAsia="仿宋_GB2312" w:cs="宋体"/>
                <w:kern w:val="0"/>
                <w:sz w:val="28"/>
                <w:szCs w:val="28"/>
              </w:rPr>
            </w:pPr>
            <w:r>
              <w:rPr>
                <w:rFonts w:hint="eastAsia" w:ascii="仿宋_GB2312" w:hAnsi="宋体" w:eastAsia="仿宋_GB2312" w:cs="宋体"/>
                <w:b/>
                <w:kern w:val="0"/>
                <w:sz w:val="28"/>
                <w:szCs w:val="28"/>
              </w:rPr>
              <w:t>分值</w:t>
            </w:r>
          </w:p>
        </w:tc>
        <w:tc>
          <w:tcPr>
            <w:tcW w:w="4402" w:type="pct"/>
            <w:gridSpan w:val="3"/>
            <w:tcBorders>
              <w:top w:val="single" w:color="auto" w:sz="4" w:space="0"/>
              <w:left w:val="single" w:color="000000" w:sz="4" w:space="0"/>
              <w:bottom w:val="single" w:color="auto" w:sz="4" w:space="0"/>
              <w:right w:val="single" w:color="auto" w:sz="4" w:space="0"/>
            </w:tcBorders>
            <w:vAlign w:val="center"/>
          </w:tcPr>
          <w:p>
            <w:pPr>
              <w:spacing w:line="360" w:lineRule="exact"/>
              <w:jc w:val="center"/>
              <w:rPr>
                <w:rFonts w:ascii="仿宋_GB2312" w:hAnsi="宋体" w:eastAsia="仿宋_GB2312" w:cs="宋体"/>
                <w:b/>
                <w:kern w:val="0"/>
                <w:sz w:val="28"/>
                <w:szCs w:val="28"/>
              </w:rPr>
            </w:pPr>
            <w:r>
              <w:rPr>
                <w:rFonts w:hint="eastAsia" w:ascii="仿宋_GB2312" w:hAnsi="宋体" w:eastAsia="仿宋_GB2312" w:cs="宋体"/>
                <w:b/>
                <w:kern w:val="0"/>
                <w:sz w:val="28"/>
                <w:szCs w:val="28"/>
              </w:rPr>
              <w:t>项目来源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94" w:type="pct"/>
            <w:vMerge w:val="continue"/>
            <w:tcBorders>
              <w:left w:val="single" w:color="auto" w:sz="4" w:space="0"/>
              <w:right w:val="single" w:color="000000" w:sz="4" w:space="0"/>
            </w:tcBorders>
            <w:vAlign w:val="center"/>
          </w:tcPr>
          <w:p>
            <w:pPr>
              <w:widowControl/>
              <w:spacing w:line="360" w:lineRule="exact"/>
              <w:jc w:val="center"/>
              <w:rPr>
                <w:rFonts w:ascii="仿宋_GB2312" w:hAnsi="宋体" w:eastAsia="仿宋_GB2312" w:cs="宋体"/>
                <w:b/>
                <w:kern w:val="0"/>
                <w:sz w:val="28"/>
                <w:szCs w:val="28"/>
              </w:rPr>
            </w:pPr>
          </w:p>
        </w:tc>
        <w:tc>
          <w:tcPr>
            <w:tcW w:w="302" w:type="pct"/>
            <w:vMerge w:val="continue"/>
            <w:tcBorders>
              <w:left w:val="single" w:color="auto" w:sz="4" w:space="0"/>
              <w:right w:val="single" w:color="000000" w:sz="4" w:space="0"/>
            </w:tcBorders>
            <w:vAlign w:val="center"/>
          </w:tcPr>
          <w:p>
            <w:pPr>
              <w:widowControl/>
              <w:spacing w:line="360" w:lineRule="exact"/>
              <w:jc w:val="center"/>
              <w:rPr>
                <w:rFonts w:ascii="仿宋_GB2312" w:hAnsi="宋体" w:eastAsia="仿宋_GB2312" w:cs="宋体"/>
                <w:b/>
                <w:kern w:val="0"/>
                <w:sz w:val="28"/>
                <w:szCs w:val="28"/>
              </w:rPr>
            </w:pPr>
          </w:p>
        </w:tc>
        <w:tc>
          <w:tcPr>
            <w:tcW w:w="3749" w:type="pct"/>
            <w:gridSpan w:val="2"/>
            <w:tcBorders>
              <w:top w:val="single" w:color="auto" w:sz="4" w:space="0"/>
              <w:left w:val="single" w:color="000000" w:sz="4" w:space="0"/>
              <w:bottom w:val="single" w:color="auto" w:sz="4" w:space="0"/>
              <w:right w:val="single" w:color="auto" w:sz="4" w:space="0"/>
            </w:tcBorders>
            <w:vAlign w:val="center"/>
          </w:tcPr>
          <w:p>
            <w:pPr>
              <w:widowControl/>
              <w:spacing w:line="360" w:lineRule="exact"/>
              <w:jc w:val="center"/>
              <w:rPr>
                <w:rFonts w:ascii="仿宋_GB2312" w:hAnsi="宋体" w:eastAsia="仿宋_GB2312" w:cs="宋体"/>
                <w:b/>
                <w:kern w:val="0"/>
                <w:sz w:val="28"/>
                <w:szCs w:val="28"/>
              </w:rPr>
            </w:pPr>
            <w:r>
              <w:rPr>
                <w:rFonts w:hint="eastAsia" w:ascii="仿宋_GB2312" w:hAnsi="宋体" w:eastAsia="仿宋_GB2312" w:cs="宋体"/>
                <w:b/>
                <w:kern w:val="0"/>
                <w:sz w:val="28"/>
                <w:szCs w:val="28"/>
              </w:rPr>
              <w:t>纵向科研项目</w:t>
            </w:r>
          </w:p>
        </w:tc>
        <w:tc>
          <w:tcPr>
            <w:tcW w:w="653" w:type="pct"/>
            <w:vMerge w:val="restart"/>
            <w:tcBorders>
              <w:top w:val="single" w:color="auto" w:sz="4" w:space="0"/>
              <w:left w:val="single" w:color="000000" w:sz="4" w:space="0"/>
              <w:right w:val="single" w:color="auto" w:sz="4" w:space="0"/>
            </w:tcBorders>
            <w:vAlign w:val="center"/>
          </w:tcPr>
          <w:p>
            <w:pPr>
              <w:widowControl/>
              <w:spacing w:line="360" w:lineRule="exact"/>
              <w:jc w:val="center"/>
              <w:rPr>
                <w:rFonts w:ascii="仿宋_GB2312" w:hAnsi="宋体" w:eastAsia="仿宋_GB2312" w:cs="宋体"/>
                <w:b/>
                <w:kern w:val="0"/>
                <w:sz w:val="28"/>
                <w:szCs w:val="28"/>
              </w:rPr>
            </w:pPr>
            <w:r>
              <w:rPr>
                <w:rFonts w:hint="eastAsia" w:ascii="Times New Roman" w:hAnsi="Times New Roman" w:eastAsia="仿宋_GB2312" w:cs="Times New Roman"/>
                <w:b/>
                <w:bCs/>
                <w:sz w:val="28"/>
                <w:szCs w:val="28"/>
              </w:rPr>
              <w:t>横向项目及</w:t>
            </w:r>
            <w:r>
              <w:rPr>
                <w:rFonts w:ascii="Times New Roman" w:hAnsi="Times New Roman" w:eastAsia="仿宋_GB2312" w:cs="Times New Roman"/>
                <w:b/>
                <w:bCs/>
                <w:sz w:val="28"/>
                <w:szCs w:val="28"/>
              </w:rPr>
              <w:t>科技成果转化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94" w:type="pct"/>
            <w:vMerge w:val="continue"/>
            <w:tcBorders>
              <w:left w:val="single" w:color="auto" w:sz="4" w:space="0"/>
              <w:bottom w:val="single" w:color="auto" w:sz="4" w:space="0"/>
              <w:right w:val="single" w:color="000000" w:sz="4" w:space="0"/>
            </w:tcBorders>
            <w:vAlign w:val="center"/>
          </w:tcPr>
          <w:p>
            <w:pPr>
              <w:widowControl/>
              <w:spacing w:line="360" w:lineRule="exact"/>
              <w:jc w:val="center"/>
              <w:rPr>
                <w:rFonts w:ascii="仿宋_GB2312" w:hAnsi="宋体" w:eastAsia="仿宋_GB2312" w:cs="宋体"/>
                <w:b/>
                <w:kern w:val="0"/>
                <w:sz w:val="28"/>
                <w:szCs w:val="28"/>
              </w:rPr>
            </w:pPr>
          </w:p>
        </w:tc>
        <w:tc>
          <w:tcPr>
            <w:tcW w:w="302" w:type="pct"/>
            <w:vMerge w:val="continue"/>
            <w:tcBorders>
              <w:left w:val="single" w:color="auto" w:sz="4" w:space="0"/>
              <w:bottom w:val="single" w:color="auto" w:sz="4" w:space="0"/>
              <w:right w:val="single" w:color="000000" w:sz="4" w:space="0"/>
            </w:tcBorders>
            <w:vAlign w:val="center"/>
          </w:tcPr>
          <w:p>
            <w:pPr>
              <w:widowControl/>
              <w:spacing w:line="360" w:lineRule="exact"/>
              <w:jc w:val="center"/>
              <w:rPr>
                <w:rFonts w:ascii="仿宋_GB2312" w:hAnsi="宋体" w:eastAsia="仿宋_GB2312" w:cs="宋体"/>
                <w:b/>
                <w:kern w:val="0"/>
                <w:sz w:val="28"/>
                <w:szCs w:val="28"/>
              </w:rPr>
            </w:pPr>
          </w:p>
        </w:tc>
        <w:tc>
          <w:tcPr>
            <w:tcW w:w="2168" w:type="pct"/>
            <w:tcBorders>
              <w:top w:val="single" w:color="auto" w:sz="4" w:space="0"/>
              <w:left w:val="single" w:color="000000" w:sz="4" w:space="0"/>
              <w:bottom w:val="single" w:color="auto" w:sz="4" w:space="0"/>
              <w:right w:val="single" w:color="auto" w:sz="4" w:space="0"/>
            </w:tcBorders>
            <w:vAlign w:val="center"/>
          </w:tcPr>
          <w:p>
            <w:pPr>
              <w:widowControl/>
              <w:spacing w:line="360" w:lineRule="exact"/>
              <w:jc w:val="center"/>
              <w:rPr>
                <w:rFonts w:ascii="仿宋_GB2312" w:hAnsi="宋体" w:eastAsia="仿宋_GB2312" w:cs="宋体"/>
                <w:b/>
                <w:kern w:val="0"/>
                <w:sz w:val="28"/>
                <w:szCs w:val="28"/>
              </w:rPr>
            </w:pPr>
            <w:r>
              <w:rPr>
                <w:rFonts w:hint="eastAsia" w:ascii="仿宋_GB2312" w:hAnsi="宋体" w:eastAsia="仿宋_GB2312" w:cs="宋体"/>
                <w:b/>
                <w:kern w:val="0"/>
                <w:sz w:val="28"/>
                <w:szCs w:val="28"/>
              </w:rPr>
              <w:t>自然科学</w:t>
            </w:r>
          </w:p>
        </w:tc>
        <w:tc>
          <w:tcPr>
            <w:tcW w:w="1581" w:type="pct"/>
            <w:tcBorders>
              <w:top w:val="single" w:color="auto" w:sz="4" w:space="0"/>
              <w:left w:val="single" w:color="auto" w:sz="4" w:space="0"/>
              <w:bottom w:val="single" w:color="auto" w:sz="4" w:space="0"/>
              <w:right w:val="single" w:color="000000" w:sz="4" w:space="0"/>
            </w:tcBorders>
            <w:vAlign w:val="center"/>
          </w:tcPr>
          <w:p>
            <w:pPr>
              <w:widowControl/>
              <w:spacing w:line="360" w:lineRule="exact"/>
              <w:jc w:val="center"/>
              <w:rPr>
                <w:rFonts w:ascii="仿宋_GB2312" w:hAnsi="宋体" w:eastAsia="仿宋_GB2312" w:cs="宋体"/>
                <w:b/>
                <w:kern w:val="0"/>
                <w:sz w:val="28"/>
                <w:szCs w:val="28"/>
              </w:rPr>
            </w:pPr>
            <w:r>
              <w:rPr>
                <w:rFonts w:hint="eastAsia" w:ascii="仿宋_GB2312" w:hAnsi="宋体" w:eastAsia="仿宋_GB2312" w:cs="宋体"/>
                <w:b/>
                <w:kern w:val="0"/>
                <w:sz w:val="28"/>
                <w:szCs w:val="28"/>
              </w:rPr>
              <w:t>人文社科</w:t>
            </w:r>
          </w:p>
        </w:tc>
        <w:tc>
          <w:tcPr>
            <w:tcW w:w="653" w:type="pct"/>
            <w:vMerge w:val="continue"/>
            <w:tcBorders>
              <w:left w:val="single" w:color="000000" w:sz="4" w:space="0"/>
              <w:bottom w:val="single" w:color="auto" w:sz="4" w:space="0"/>
              <w:right w:val="single" w:color="auto" w:sz="4" w:space="0"/>
            </w:tcBorders>
            <w:vAlign w:val="center"/>
          </w:tcPr>
          <w:p>
            <w:pPr>
              <w:widowControl/>
              <w:spacing w:line="360" w:lineRule="exact"/>
              <w:jc w:val="center"/>
              <w:rPr>
                <w:rFonts w:ascii="仿宋_GB2312" w:hAnsi="宋体" w:eastAsia="仿宋_GB2312" w:cs="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8" w:hRule="atLeast"/>
        </w:trPr>
        <w:tc>
          <w:tcPr>
            <w:tcW w:w="294" w:type="pct"/>
            <w:tcBorders>
              <w:top w:val="single" w:color="auto" w:sz="4" w:space="0"/>
              <w:left w:val="single" w:color="auto" w:sz="4" w:space="0"/>
              <w:right w:val="single" w:color="000000" w:sz="4" w:space="0"/>
            </w:tcBorders>
            <w:vAlign w:val="center"/>
          </w:tcPr>
          <w:p>
            <w:pPr>
              <w:spacing w:line="360" w:lineRule="exact"/>
              <w:jc w:val="center"/>
              <w:rPr>
                <w:rFonts w:ascii="仿宋_GB2312" w:hAnsi="宋体" w:eastAsia="仿宋_GB2312" w:cs="宋体"/>
                <w:b/>
                <w:kern w:val="0"/>
                <w:sz w:val="28"/>
                <w:szCs w:val="28"/>
              </w:rPr>
            </w:pPr>
            <w:r>
              <w:rPr>
                <w:rFonts w:hint="eastAsia" w:ascii="仿宋_GB2312" w:hAnsi="宋体" w:eastAsia="仿宋_GB2312" w:cs="宋体"/>
                <w:b/>
                <w:kern w:val="0"/>
                <w:sz w:val="28"/>
                <w:szCs w:val="28"/>
              </w:rPr>
              <w:t>1级</w:t>
            </w:r>
          </w:p>
        </w:tc>
        <w:tc>
          <w:tcPr>
            <w:tcW w:w="302" w:type="pct"/>
            <w:tcBorders>
              <w:top w:val="single" w:color="auto" w:sz="4" w:space="0"/>
              <w:left w:val="single" w:color="auto" w:sz="4" w:space="0"/>
              <w:right w:val="single" w:color="000000" w:sz="4" w:space="0"/>
            </w:tcBorders>
            <w:vAlign w:val="center"/>
          </w:tcPr>
          <w:p>
            <w:pPr>
              <w:spacing w:line="360" w:lineRule="exact"/>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200</w:t>
            </w:r>
          </w:p>
        </w:tc>
        <w:tc>
          <w:tcPr>
            <w:tcW w:w="2168"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1.国家科技重大专项课题。</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2.国家重点研发计划项目课题。</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3.国家自然科学基金重大项目。</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4.国家自然科学基金杰青项目。</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5.国家自然科学基金创新研究群体项目。</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6.国家自然科学基金基础科学中心项目。</w:t>
            </w:r>
          </w:p>
          <w:p>
            <w:pPr>
              <w:spacing w:line="360" w:lineRule="exact"/>
              <w:rPr>
                <w:rFonts w:ascii="仿宋_GB2312" w:hAnsi="宋体" w:eastAsia="仿宋_GB2312" w:cs="Arial"/>
                <w:kern w:val="0"/>
                <w:sz w:val="28"/>
                <w:szCs w:val="28"/>
              </w:rPr>
            </w:pPr>
            <w:r>
              <w:rPr>
                <w:rFonts w:hint="eastAsia" w:ascii="仿宋_GB2312" w:hAnsi="宋体" w:eastAsia="仿宋_GB2312" w:cs="宋体"/>
                <w:kern w:val="0"/>
                <w:sz w:val="28"/>
                <w:szCs w:val="28"/>
              </w:rPr>
              <w:t>7.国家重大科技专项子课题</w:t>
            </w:r>
            <w:r>
              <w:rPr>
                <w:rFonts w:hint="eastAsia" w:ascii="仿宋_GB2312" w:hAnsi="宋体" w:eastAsia="仿宋_GB2312" w:cs="Arial"/>
                <w:kern w:val="0"/>
                <w:sz w:val="28"/>
                <w:szCs w:val="28"/>
              </w:rPr>
              <w:t>、</w:t>
            </w:r>
            <w:r>
              <w:rPr>
                <w:rFonts w:hint="eastAsia" w:ascii="仿宋_GB2312" w:hAnsi="宋体" w:eastAsia="仿宋_GB2312" w:cs="宋体"/>
                <w:kern w:val="0"/>
                <w:sz w:val="28"/>
                <w:szCs w:val="28"/>
              </w:rPr>
              <w:t>国家重点研发计划项目子课题</w:t>
            </w:r>
            <w:r>
              <w:rPr>
                <w:rFonts w:hint="eastAsia" w:ascii="仿宋_GB2312" w:hAnsi="宋体" w:eastAsia="仿宋_GB2312" w:cs="Arial"/>
                <w:kern w:val="0"/>
                <w:sz w:val="28"/>
                <w:szCs w:val="28"/>
              </w:rPr>
              <w:t>、</w:t>
            </w:r>
            <w:r>
              <w:rPr>
                <w:rFonts w:hint="eastAsia" w:ascii="仿宋_GB2312" w:hAnsi="宋体" w:eastAsia="仿宋_GB2312" w:cs="宋体"/>
                <w:kern w:val="0"/>
                <w:sz w:val="28"/>
                <w:szCs w:val="28"/>
              </w:rPr>
              <w:t>国防或军队重要科研项目子课题</w:t>
            </w:r>
            <w:r>
              <w:rPr>
                <w:rFonts w:hint="eastAsia" w:ascii="仿宋_GB2312" w:hAnsi="宋体" w:eastAsia="仿宋_GB2312" w:cs="Arial"/>
                <w:kern w:val="0"/>
                <w:sz w:val="28"/>
                <w:szCs w:val="28"/>
              </w:rPr>
              <w:t>、</w:t>
            </w:r>
            <w:r>
              <w:rPr>
                <w:rFonts w:hint="eastAsia" w:ascii="仿宋_GB2312" w:hAnsi="宋体" w:eastAsia="仿宋_GB2312" w:cs="宋体"/>
                <w:kern w:val="0"/>
                <w:sz w:val="28"/>
                <w:szCs w:val="28"/>
              </w:rPr>
              <w:t>国家技术创新引导专项基金和人才专项，</w:t>
            </w:r>
            <w:r>
              <w:rPr>
                <w:rFonts w:hint="eastAsia" w:ascii="仿宋_GB2312" w:hAnsi="宋体" w:eastAsia="仿宋_GB2312" w:cs="Arial"/>
                <w:kern w:val="0"/>
                <w:sz w:val="28"/>
                <w:szCs w:val="28"/>
              </w:rPr>
              <w:t>且到账经费500万元及以上。</w:t>
            </w:r>
          </w:p>
        </w:tc>
        <w:tc>
          <w:tcPr>
            <w:tcW w:w="1581"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1.国家社科基金重点、重大项目。</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2.国家软科学重大项目。</w:t>
            </w:r>
          </w:p>
          <w:p>
            <w:pPr>
              <w:spacing w:line="360" w:lineRule="exact"/>
              <w:rPr>
                <w:rFonts w:ascii="仿宋_GB2312" w:eastAsia="仿宋_GB2312"/>
                <w:sz w:val="28"/>
                <w:szCs w:val="28"/>
              </w:rPr>
            </w:pPr>
            <w:r>
              <w:rPr>
                <w:rFonts w:hint="eastAsia" w:ascii="仿宋_GB2312" w:eastAsia="仿宋_GB2312"/>
                <w:sz w:val="28"/>
                <w:szCs w:val="28"/>
              </w:rPr>
              <w:t>3.教育部哲学社会科学研究重大课题。</w:t>
            </w:r>
          </w:p>
          <w:p>
            <w:pPr>
              <w:spacing w:line="360" w:lineRule="exact"/>
              <w:rPr>
                <w:rFonts w:ascii="仿宋_GB2312" w:hAnsi="宋体" w:eastAsia="仿宋_GB2312" w:cs="宋体"/>
                <w:kern w:val="0"/>
                <w:sz w:val="28"/>
                <w:szCs w:val="28"/>
              </w:rPr>
            </w:pPr>
            <w:r>
              <w:rPr>
                <w:rFonts w:hint="eastAsia" w:ascii="仿宋_GB2312" w:eastAsia="仿宋_GB2312"/>
                <w:sz w:val="28"/>
                <w:szCs w:val="28"/>
              </w:rPr>
              <w:t>4.高等学校全国优秀博士学位论文作者专项资金。</w:t>
            </w:r>
          </w:p>
        </w:tc>
        <w:tc>
          <w:tcPr>
            <w:tcW w:w="653" w:type="pct"/>
            <w:tcBorders>
              <w:top w:val="single" w:color="auto" w:sz="4" w:space="0"/>
              <w:left w:val="single" w:color="auto" w:sz="4" w:space="0"/>
              <w:right w:val="single" w:color="auto" w:sz="4" w:space="0"/>
            </w:tcBorders>
            <w:vAlign w:val="center"/>
          </w:tcPr>
          <w:p>
            <w:pPr>
              <w:spacing w:line="360" w:lineRule="exact"/>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单项到校经费达到800万元及以上。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1" w:hRule="atLeast"/>
        </w:trPr>
        <w:tc>
          <w:tcPr>
            <w:tcW w:w="294" w:type="pct"/>
            <w:tcBorders>
              <w:left w:val="single" w:color="auto" w:sz="4" w:space="0"/>
              <w:right w:val="single" w:color="000000" w:sz="4" w:space="0"/>
            </w:tcBorders>
            <w:vAlign w:val="center"/>
          </w:tcPr>
          <w:p>
            <w:pPr>
              <w:spacing w:line="360" w:lineRule="exact"/>
              <w:jc w:val="center"/>
              <w:rPr>
                <w:rFonts w:ascii="仿宋_GB2312" w:hAnsi="宋体" w:eastAsia="仿宋_GB2312" w:cs="宋体"/>
                <w:b/>
                <w:kern w:val="0"/>
                <w:sz w:val="28"/>
                <w:szCs w:val="28"/>
              </w:rPr>
            </w:pPr>
            <w:r>
              <w:rPr>
                <w:rFonts w:hint="eastAsia" w:ascii="仿宋_GB2312" w:hAnsi="宋体" w:eastAsia="仿宋_GB2312" w:cs="宋体"/>
                <w:b/>
                <w:kern w:val="0"/>
                <w:sz w:val="28"/>
                <w:szCs w:val="28"/>
              </w:rPr>
              <w:t>2级</w:t>
            </w:r>
          </w:p>
        </w:tc>
        <w:tc>
          <w:tcPr>
            <w:tcW w:w="302" w:type="pct"/>
            <w:tcBorders>
              <w:left w:val="single" w:color="auto" w:sz="4" w:space="0"/>
              <w:right w:val="single" w:color="000000" w:sz="4" w:space="0"/>
            </w:tcBorders>
            <w:vAlign w:val="center"/>
          </w:tcPr>
          <w:p>
            <w:pPr>
              <w:spacing w:line="360" w:lineRule="exact"/>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100</w:t>
            </w:r>
          </w:p>
        </w:tc>
        <w:tc>
          <w:tcPr>
            <w:tcW w:w="2168"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1.国家自然科学基金重点项目。</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2.国家自然科学基金优秀青年科学基金项目。</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3.国家重大科技专项子课题、国家重点研发计划项目子课题、国防或军队重要科研项目、国家自然科学基金重大项目子课题、国家技术创新引导专项基金课题和人才专项、国家部委委托项目，且到账经费300万元及以上。</w:t>
            </w:r>
          </w:p>
        </w:tc>
        <w:tc>
          <w:tcPr>
            <w:tcW w:w="1581"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1.国家社科基金</w:t>
            </w:r>
            <w:r>
              <w:rPr>
                <w:rFonts w:hint="eastAsia" w:ascii="仿宋_GB2312" w:hAnsi="宋体" w:eastAsia="仿宋_GB2312" w:cs="宋体"/>
                <w:b/>
                <w:color w:val="FF0000"/>
                <w:kern w:val="0"/>
                <w:sz w:val="28"/>
                <w:szCs w:val="28"/>
              </w:rPr>
              <w:t>一般</w:t>
            </w:r>
            <w:r>
              <w:rPr>
                <w:rFonts w:hint="eastAsia" w:ascii="仿宋_GB2312" w:hAnsi="宋体" w:eastAsia="仿宋_GB2312" w:cs="宋体"/>
                <w:kern w:val="0"/>
                <w:sz w:val="28"/>
                <w:szCs w:val="28"/>
              </w:rPr>
              <w:t>项目。</w:t>
            </w:r>
          </w:p>
          <w:p>
            <w:pPr>
              <w:spacing w:line="360" w:lineRule="exact"/>
              <w:rPr>
                <w:rFonts w:ascii="仿宋_GB2312" w:eastAsia="仿宋_GB2312"/>
                <w:sz w:val="28"/>
                <w:szCs w:val="28"/>
              </w:rPr>
            </w:pPr>
            <w:r>
              <w:rPr>
                <w:rFonts w:hint="eastAsia" w:ascii="仿宋_GB2312" w:eastAsia="仿宋_GB2312"/>
                <w:sz w:val="28"/>
                <w:szCs w:val="28"/>
              </w:rPr>
              <w:t>2.国家软科学研究计划重点项目。</w:t>
            </w:r>
          </w:p>
          <w:p>
            <w:pPr>
              <w:spacing w:line="360" w:lineRule="exact"/>
              <w:rPr>
                <w:rFonts w:ascii="仿宋_GB2312" w:eastAsia="仿宋_GB2312"/>
                <w:sz w:val="28"/>
                <w:szCs w:val="28"/>
              </w:rPr>
            </w:pPr>
            <w:r>
              <w:rPr>
                <w:rFonts w:hint="eastAsia" w:ascii="仿宋_GB2312" w:eastAsia="仿宋_GB2312"/>
                <w:sz w:val="28"/>
                <w:szCs w:val="28"/>
              </w:rPr>
              <w:t>3.霍英东教育基金会高等院校青年教师基金。</w:t>
            </w:r>
          </w:p>
          <w:p>
            <w:pPr>
              <w:spacing w:line="360" w:lineRule="exact"/>
              <w:rPr>
                <w:rFonts w:ascii="仿宋_GB2312" w:eastAsia="仿宋_GB2312"/>
                <w:sz w:val="28"/>
                <w:szCs w:val="28"/>
              </w:rPr>
            </w:pPr>
            <w:r>
              <w:rPr>
                <w:rFonts w:hint="eastAsia" w:ascii="仿宋_GB2312" w:eastAsia="仿宋_GB2312"/>
                <w:sz w:val="28"/>
                <w:szCs w:val="28"/>
              </w:rPr>
              <w:t>4.教育部新世纪优秀人才支持计划。</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5.国家部委委托项目，且到账经费50万元及以上。</w:t>
            </w:r>
          </w:p>
        </w:tc>
        <w:tc>
          <w:tcPr>
            <w:tcW w:w="653" w:type="pct"/>
            <w:tcBorders>
              <w:left w:val="single" w:color="auto" w:sz="4" w:space="0"/>
              <w:bottom w:val="single" w:color="auto" w:sz="4" w:space="0"/>
              <w:right w:val="single" w:color="auto" w:sz="4" w:space="0"/>
            </w:tcBorders>
            <w:vAlign w:val="center"/>
          </w:tcPr>
          <w:p>
            <w:pPr>
              <w:spacing w:line="360" w:lineRule="exact"/>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单项到校经费达到500万元及以上。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8" w:hRule="atLeast"/>
        </w:trPr>
        <w:tc>
          <w:tcPr>
            <w:tcW w:w="294" w:type="pct"/>
            <w:tcBorders>
              <w:left w:val="single" w:color="auto" w:sz="4" w:space="0"/>
              <w:right w:val="single" w:color="000000" w:sz="4" w:space="0"/>
            </w:tcBorders>
            <w:vAlign w:val="center"/>
          </w:tcPr>
          <w:p>
            <w:pPr>
              <w:spacing w:line="360" w:lineRule="exact"/>
              <w:jc w:val="center"/>
              <w:rPr>
                <w:rFonts w:ascii="仿宋_GB2312" w:hAnsi="宋体" w:eastAsia="仿宋_GB2312" w:cs="宋体"/>
                <w:b/>
                <w:kern w:val="0"/>
                <w:sz w:val="28"/>
                <w:szCs w:val="28"/>
              </w:rPr>
            </w:pPr>
            <w:r>
              <w:rPr>
                <w:rFonts w:hint="eastAsia" w:ascii="仿宋_GB2312" w:hAnsi="宋体" w:eastAsia="仿宋_GB2312" w:cs="宋体"/>
                <w:b/>
                <w:kern w:val="0"/>
                <w:sz w:val="28"/>
                <w:szCs w:val="28"/>
              </w:rPr>
              <w:t>3级</w:t>
            </w:r>
          </w:p>
        </w:tc>
        <w:tc>
          <w:tcPr>
            <w:tcW w:w="302" w:type="pct"/>
            <w:tcBorders>
              <w:left w:val="single" w:color="auto" w:sz="4" w:space="0"/>
              <w:right w:val="single" w:color="000000" w:sz="4" w:space="0"/>
            </w:tcBorders>
            <w:shd w:val="clear" w:color="auto" w:fill="auto"/>
            <w:vAlign w:val="center"/>
          </w:tcPr>
          <w:p>
            <w:pPr>
              <w:spacing w:line="360" w:lineRule="exact"/>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70</w:t>
            </w:r>
          </w:p>
        </w:tc>
        <w:tc>
          <w:tcPr>
            <w:tcW w:w="2168" w:type="pct"/>
            <w:tcBorders>
              <w:top w:val="single" w:color="auto" w:sz="4" w:space="0"/>
              <w:left w:val="single" w:color="auto" w:sz="4" w:space="0"/>
              <w:right w:val="single" w:color="auto" w:sz="4" w:space="0"/>
            </w:tcBorders>
            <w:vAlign w:val="center"/>
          </w:tcPr>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1.国家自然科学基金项目（面上项目、地区基金、联合基金项目、国际（地区）合作研究项目）。</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2.国家重大科技专项子课题、国家重点研发计划项目子课题、国防或军队重要科研项目子课题、国家自然科学基金重大（重点）项目子课题、火炬计划、国家重点新产品计划、星火计划、农业科技成果转化资金支持项目、国家部委委托项目，且到账经费200万元及以上。</w:t>
            </w:r>
          </w:p>
        </w:tc>
        <w:tc>
          <w:tcPr>
            <w:tcW w:w="1581"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eastAsia="仿宋_GB2312"/>
                <w:sz w:val="28"/>
                <w:szCs w:val="28"/>
              </w:rPr>
            </w:pPr>
            <w:r>
              <w:rPr>
                <w:rFonts w:hint="eastAsia" w:ascii="仿宋_GB2312" w:eastAsia="仿宋_GB2312"/>
                <w:sz w:val="28"/>
                <w:szCs w:val="28"/>
              </w:rPr>
              <w:t>1.</w:t>
            </w:r>
            <w:r>
              <w:rPr>
                <w:rFonts w:hint="eastAsia" w:ascii="仿宋_GB2312" w:hAnsi="宋体" w:eastAsia="仿宋_GB2312" w:cs="宋体"/>
                <w:kern w:val="0"/>
                <w:sz w:val="28"/>
                <w:szCs w:val="28"/>
              </w:rPr>
              <w:t>教育部哲学社会科学研究重大课题、国家社科基金重大项目子课题。</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2.国家社科基金</w:t>
            </w:r>
            <w:r>
              <w:rPr>
                <w:rFonts w:hint="eastAsia" w:ascii="仿宋_GB2312" w:hAnsi="宋体" w:eastAsia="仿宋_GB2312" w:cs="宋体"/>
                <w:b/>
                <w:color w:val="FF0000"/>
                <w:kern w:val="0"/>
                <w:sz w:val="28"/>
                <w:szCs w:val="28"/>
              </w:rPr>
              <w:t>青年</w:t>
            </w:r>
            <w:r>
              <w:rPr>
                <w:rFonts w:hint="eastAsia" w:ascii="仿宋_GB2312" w:hAnsi="宋体" w:eastAsia="仿宋_GB2312" w:cs="宋体"/>
                <w:kern w:val="0"/>
                <w:sz w:val="28"/>
                <w:szCs w:val="28"/>
              </w:rPr>
              <w:t>项目。</w:t>
            </w:r>
          </w:p>
          <w:p>
            <w:pPr>
              <w:spacing w:line="360" w:lineRule="exact"/>
              <w:rPr>
                <w:rFonts w:ascii="仿宋_GB2312" w:eastAsia="仿宋_GB2312"/>
                <w:sz w:val="28"/>
                <w:szCs w:val="28"/>
              </w:rPr>
            </w:pPr>
            <w:r>
              <w:rPr>
                <w:rFonts w:hint="eastAsia" w:ascii="仿宋_GB2312" w:hAnsi="宋体" w:eastAsia="仿宋_GB2312" w:cs="宋体"/>
                <w:kern w:val="0"/>
                <w:sz w:val="28"/>
                <w:szCs w:val="28"/>
              </w:rPr>
              <w:t>3.国家软科学研究计划出版项目或面上项目。</w:t>
            </w:r>
          </w:p>
          <w:p>
            <w:pPr>
              <w:spacing w:line="360" w:lineRule="exact"/>
              <w:rPr>
                <w:rFonts w:ascii="仿宋_GB2312" w:hAnsi="宋体" w:eastAsia="仿宋_GB2312" w:cs="宋体"/>
                <w:kern w:val="0"/>
                <w:sz w:val="28"/>
                <w:szCs w:val="28"/>
              </w:rPr>
            </w:pPr>
            <w:r>
              <w:rPr>
                <w:rFonts w:hint="eastAsia" w:ascii="仿宋_GB2312" w:eastAsia="仿宋_GB2312"/>
                <w:sz w:val="28"/>
                <w:szCs w:val="28"/>
              </w:rPr>
              <w:t>2.省部级委托专项(招标)课题(研究经费30万以上)。</w:t>
            </w:r>
          </w:p>
        </w:tc>
        <w:tc>
          <w:tcPr>
            <w:tcW w:w="653" w:type="pct"/>
            <w:tcBorders>
              <w:top w:val="single" w:color="auto" w:sz="4" w:space="0"/>
              <w:left w:val="single" w:color="auto" w:sz="4" w:space="0"/>
              <w:right w:val="single" w:color="auto" w:sz="4" w:space="0"/>
            </w:tcBorders>
            <w:vAlign w:val="center"/>
          </w:tcPr>
          <w:p>
            <w:pPr>
              <w:spacing w:line="360" w:lineRule="exact"/>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单项到校经费达到300万及以上。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2" w:hRule="atLeast"/>
        </w:trPr>
        <w:tc>
          <w:tcPr>
            <w:tcW w:w="294" w:type="pct"/>
            <w:tcBorders>
              <w:left w:val="single" w:color="auto" w:sz="4" w:space="0"/>
              <w:right w:val="single" w:color="000000" w:sz="4" w:space="0"/>
            </w:tcBorders>
            <w:vAlign w:val="center"/>
          </w:tcPr>
          <w:p>
            <w:pPr>
              <w:spacing w:line="360" w:lineRule="exact"/>
              <w:jc w:val="center"/>
              <w:rPr>
                <w:rFonts w:ascii="仿宋_GB2312" w:hAnsi="宋体" w:eastAsia="仿宋_GB2312" w:cs="宋体"/>
                <w:b/>
                <w:kern w:val="0"/>
                <w:sz w:val="28"/>
                <w:szCs w:val="28"/>
              </w:rPr>
            </w:pPr>
            <w:r>
              <w:rPr>
                <w:rFonts w:hint="eastAsia" w:ascii="仿宋_GB2312" w:hAnsi="宋体" w:eastAsia="仿宋_GB2312" w:cs="宋体"/>
                <w:b/>
                <w:kern w:val="0"/>
                <w:sz w:val="28"/>
                <w:szCs w:val="28"/>
              </w:rPr>
              <w:t>4级</w:t>
            </w:r>
          </w:p>
        </w:tc>
        <w:tc>
          <w:tcPr>
            <w:tcW w:w="302" w:type="pct"/>
            <w:tcBorders>
              <w:left w:val="single" w:color="auto" w:sz="4" w:space="0"/>
              <w:right w:val="single" w:color="000000" w:sz="4" w:space="0"/>
            </w:tcBorders>
            <w:shd w:val="clear" w:color="auto" w:fill="auto"/>
            <w:vAlign w:val="center"/>
          </w:tcPr>
          <w:p>
            <w:pPr>
              <w:spacing w:line="360" w:lineRule="exact"/>
              <w:jc w:val="center"/>
              <w:rPr>
                <w:rFonts w:ascii="仿宋_GB2312" w:hAnsi="宋体" w:eastAsia="仿宋_GB2312" w:cs="宋体"/>
                <w:bCs/>
                <w:kern w:val="0"/>
                <w:sz w:val="28"/>
                <w:szCs w:val="28"/>
              </w:rPr>
            </w:pPr>
            <w:r>
              <w:rPr>
                <w:rFonts w:hint="eastAsia" w:ascii="仿宋_GB2312" w:hAnsi="宋体" w:eastAsia="仿宋_GB2312" w:cs="宋体"/>
                <w:bCs/>
                <w:kern w:val="0"/>
                <w:sz w:val="28"/>
                <w:szCs w:val="28"/>
              </w:rPr>
              <w:t>30</w:t>
            </w:r>
          </w:p>
        </w:tc>
        <w:tc>
          <w:tcPr>
            <w:tcW w:w="2168" w:type="pct"/>
            <w:tcBorders>
              <w:left w:val="single" w:color="auto" w:sz="4" w:space="0"/>
              <w:bottom w:val="single" w:color="auto" w:sz="4" w:space="0"/>
              <w:right w:val="single" w:color="auto" w:sz="4" w:space="0"/>
            </w:tcBorders>
            <w:vAlign w:val="center"/>
          </w:tcPr>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1.国家自然科学基金项目（含青年基金、主任基金、国际（地区）合作交流项目及专项项目）。</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2.国家重大科技专项子课题、国家重点研发计划项目子课题、国防或军队重要科研项目子课题、国家自然科学基金重大（重点）项目子课题、火炬计划、国家重点新产品计划、星火计划、农业科技成果转化资金支持项目、国家部委委托项目，且到账经费100万元及以上。</w:t>
            </w:r>
          </w:p>
        </w:tc>
        <w:tc>
          <w:tcPr>
            <w:tcW w:w="1581"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1.国家社科基金重点项目子课题。</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2.教育部人文社科重点项目。</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3.国家部委委托项目，且到账经费20万元及以上。</w:t>
            </w:r>
          </w:p>
        </w:tc>
        <w:tc>
          <w:tcPr>
            <w:tcW w:w="653" w:type="pct"/>
            <w:tcBorders>
              <w:top w:val="single" w:color="auto" w:sz="4" w:space="0"/>
              <w:left w:val="single" w:color="auto" w:sz="4" w:space="0"/>
              <w:right w:val="single" w:color="auto" w:sz="4" w:space="0"/>
            </w:tcBorders>
            <w:vAlign w:val="center"/>
          </w:tcPr>
          <w:p>
            <w:pPr>
              <w:spacing w:line="360" w:lineRule="exact"/>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单项到校经费达到200万及以上。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9" w:hRule="atLeast"/>
        </w:trPr>
        <w:tc>
          <w:tcPr>
            <w:tcW w:w="294" w:type="pct"/>
            <w:tcBorders>
              <w:left w:val="single" w:color="auto" w:sz="4" w:space="0"/>
              <w:right w:val="single" w:color="000000" w:sz="4" w:space="0"/>
            </w:tcBorders>
            <w:vAlign w:val="center"/>
          </w:tcPr>
          <w:p>
            <w:pPr>
              <w:widowControl/>
              <w:spacing w:line="360" w:lineRule="exact"/>
              <w:jc w:val="center"/>
              <w:rPr>
                <w:rFonts w:ascii="仿宋_GB2312" w:hAnsi="宋体" w:eastAsia="仿宋_GB2312" w:cs="宋体"/>
                <w:b/>
                <w:kern w:val="0"/>
                <w:sz w:val="28"/>
                <w:szCs w:val="28"/>
              </w:rPr>
            </w:pPr>
            <w:r>
              <w:rPr>
                <w:rFonts w:hint="eastAsia" w:ascii="仿宋_GB2312" w:hAnsi="宋体" w:eastAsia="仿宋_GB2312" w:cs="宋体"/>
                <w:b/>
                <w:kern w:val="0"/>
                <w:sz w:val="28"/>
                <w:szCs w:val="28"/>
              </w:rPr>
              <w:t>5级</w:t>
            </w:r>
          </w:p>
        </w:tc>
        <w:tc>
          <w:tcPr>
            <w:tcW w:w="302" w:type="pct"/>
            <w:tcBorders>
              <w:left w:val="single" w:color="auto"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25</w:t>
            </w:r>
          </w:p>
        </w:tc>
        <w:tc>
          <w:tcPr>
            <w:tcW w:w="2168"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1.省重大科技专项。</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2.省杰出青年科学基金项目。</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3.国家重大科技专项任务、国家重点研发计划项目任务、国防或军队重要科研项目任务、国家自然科学基金重大（重点）项目子课题，且到账经费50万元及以上。</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4.国家部委或省级委托专项课题，且到账经费80万元及以上。</w:t>
            </w:r>
          </w:p>
        </w:tc>
        <w:tc>
          <w:tcPr>
            <w:tcW w:w="1581" w:type="pct"/>
            <w:tcBorders>
              <w:top w:val="single" w:color="auto" w:sz="4" w:space="0"/>
              <w:left w:val="single" w:color="auto" w:sz="4" w:space="0"/>
              <w:bottom w:val="single" w:color="auto" w:sz="4" w:space="0"/>
              <w:right w:val="single" w:color="auto" w:sz="4" w:space="0"/>
            </w:tcBorders>
            <w:vAlign w:val="center"/>
          </w:tcPr>
          <w:p>
            <w:pPr>
              <w:spacing w:line="32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1.教育部人文社会科学一般、专项研究项目。</w:t>
            </w:r>
          </w:p>
          <w:p>
            <w:pPr>
              <w:spacing w:line="32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2.国家体育总局重点科研项目。</w:t>
            </w:r>
          </w:p>
          <w:p>
            <w:pPr>
              <w:spacing w:line="32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3.省学术技术带头人（科研类）。</w:t>
            </w:r>
          </w:p>
          <w:p>
            <w:pPr>
              <w:spacing w:line="32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4.省哲学社会科学规划重大项目。</w:t>
            </w:r>
          </w:p>
          <w:p>
            <w:pPr>
              <w:spacing w:line="32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5.省软科学研究计划项目。</w:t>
            </w:r>
          </w:p>
          <w:p>
            <w:pPr>
              <w:spacing w:line="32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6.省社科联社会科学创新发展研究课题重大研究项目。</w:t>
            </w:r>
          </w:p>
          <w:p>
            <w:pPr>
              <w:spacing w:line="32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7.国家社科基金重大项目任务、国家部委或省级委托专项课题，且到账经费15万元及以上。</w:t>
            </w:r>
          </w:p>
        </w:tc>
        <w:tc>
          <w:tcPr>
            <w:tcW w:w="653" w:type="pct"/>
            <w:tcBorders>
              <w:left w:val="single" w:color="auto" w:sz="4" w:space="0"/>
              <w:right w:val="single" w:color="auto" w:sz="4" w:space="0"/>
            </w:tcBorders>
            <w:vAlign w:val="center"/>
          </w:tcPr>
          <w:p>
            <w:pPr>
              <w:spacing w:line="360" w:lineRule="exact"/>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单项到校经费达到100万及以上。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5" w:hRule="atLeast"/>
        </w:trPr>
        <w:tc>
          <w:tcPr>
            <w:tcW w:w="294" w:type="pct"/>
            <w:tcBorders>
              <w:left w:val="single" w:color="auto" w:sz="4" w:space="0"/>
              <w:right w:val="single" w:color="000000" w:sz="4" w:space="0"/>
            </w:tcBorders>
            <w:vAlign w:val="center"/>
          </w:tcPr>
          <w:p>
            <w:pPr>
              <w:widowControl/>
              <w:spacing w:line="360" w:lineRule="exact"/>
              <w:jc w:val="center"/>
              <w:rPr>
                <w:rFonts w:ascii="仿宋_GB2312" w:hAnsi="宋体" w:eastAsia="仿宋_GB2312" w:cs="宋体"/>
                <w:b/>
                <w:kern w:val="0"/>
                <w:sz w:val="28"/>
                <w:szCs w:val="28"/>
              </w:rPr>
            </w:pPr>
            <w:r>
              <w:rPr>
                <w:rFonts w:hint="eastAsia" w:ascii="仿宋_GB2312" w:hAnsi="宋体" w:eastAsia="仿宋_GB2312" w:cs="宋体"/>
                <w:b/>
                <w:kern w:val="0"/>
                <w:sz w:val="28"/>
                <w:szCs w:val="28"/>
              </w:rPr>
              <w:t>6级</w:t>
            </w:r>
          </w:p>
        </w:tc>
        <w:tc>
          <w:tcPr>
            <w:tcW w:w="302" w:type="pct"/>
            <w:tcBorders>
              <w:left w:val="single" w:color="auto"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20</w:t>
            </w:r>
          </w:p>
        </w:tc>
        <w:tc>
          <w:tcPr>
            <w:tcW w:w="2168" w:type="pct"/>
            <w:tcBorders>
              <w:top w:val="single" w:color="auto" w:sz="4" w:space="0"/>
              <w:left w:val="single" w:color="auto" w:sz="4" w:space="0"/>
              <w:right w:val="single" w:color="auto" w:sz="4" w:space="0"/>
            </w:tcBorders>
            <w:vAlign w:val="center"/>
          </w:tcPr>
          <w:p>
            <w:pPr>
              <w:spacing w:line="32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1.教育部科学技术研究项目。</w:t>
            </w:r>
          </w:p>
          <w:p>
            <w:pPr>
              <w:spacing w:line="32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2.省重点研究与开发计划项目。</w:t>
            </w:r>
          </w:p>
          <w:p>
            <w:pPr>
              <w:spacing w:line="32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3.省平台与人才专项、省学术技术带头人（科研类）。</w:t>
            </w:r>
          </w:p>
          <w:p>
            <w:pPr>
              <w:spacing w:line="32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4.省创新环境与科技管理保障项目、省协同创新研究项目。</w:t>
            </w:r>
          </w:p>
          <w:p>
            <w:pPr>
              <w:spacing w:line="32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5.省优秀青年科技基金、省自然科学基金重点项目。</w:t>
            </w:r>
          </w:p>
          <w:p>
            <w:pPr>
              <w:spacing w:line="32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6.省学科建设专项。</w:t>
            </w:r>
          </w:p>
          <w:p>
            <w:pPr>
              <w:spacing w:line="32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7.安徽省115创新团队项目。</w:t>
            </w:r>
          </w:p>
          <w:p>
            <w:pPr>
              <w:spacing w:line="32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8.国家重大科技专项任务、国家重点研发计划项目任务、国防或军队重要科研项目任务、国家自然科学基金重大（重点）项目子课题，且到账经费30万元及以上。</w:t>
            </w:r>
          </w:p>
          <w:p>
            <w:pPr>
              <w:spacing w:line="32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9.国家部委或省级委托专项课题，且到账经费50万元及以上。</w:t>
            </w:r>
          </w:p>
        </w:tc>
        <w:tc>
          <w:tcPr>
            <w:tcW w:w="1581"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1.省社科联社会科学创新发展研究课题重点研究项目。</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2.省哲学社会科学规划重点项目。</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3.国家社科基金重大项目任务、国家部委或省级委托专项课题，且到账经费10万元及以上。</w:t>
            </w:r>
          </w:p>
        </w:tc>
        <w:tc>
          <w:tcPr>
            <w:tcW w:w="653" w:type="pct"/>
            <w:tcBorders>
              <w:left w:val="single" w:color="auto" w:sz="4" w:space="0"/>
              <w:right w:val="single" w:color="auto" w:sz="4" w:space="0"/>
            </w:tcBorders>
            <w:vAlign w:val="center"/>
          </w:tcPr>
          <w:p>
            <w:pPr>
              <w:widowControl/>
              <w:spacing w:line="360" w:lineRule="exact"/>
              <w:jc w:val="center"/>
              <w:rPr>
                <w:rFonts w:ascii="仿宋_GB2312" w:hAnsi="宋体" w:eastAsia="仿宋_GB2312" w:cs="Arial"/>
                <w:kern w:val="0"/>
                <w:sz w:val="28"/>
                <w:szCs w:val="28"/>
              </w:rPr>
            </w:pPr>
            <w:r>
              <w:rPr>
                <w:rFonts w:hint="eastAsia" w:ascii="仿宋_GB2312" w:hAnsi="宋体" w:eastAsia="仿宋_GB2312" w:cs="宋体"/>
                <w:kern w:val="0"/>
                <w:sz w:val="28"/>
                <w:szCs w:val="28"/>
              </w:rPr>
              <w:t>单项到校经费达到80万及以上。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1" w:hRule="atLeast"/>
        </w:trPr>
        <w:tc>
          <w:tcPr>
            <w:tcW w:w="294" w:type="pct"/>
            <w:tcBorders>
              <w:left w:val="single" w:color="auto" w:sz="4" w:space="0"/>
              <w:right w:val="single" w:color="000000" w:sz="4" w:space="0"/>
            </w:tcBorders>
            <w:vAlign w:val="center"/>
          </w:tcPr>
          <w:p>
            <w:pPr>
              <w:widowControl/>
              <w:spacing w:line="360" w:lineRule="exact"/>
              <w:jc w:val="center"/>
              <w:rPr>
                <w:rFonts w:ascii="仿宋_GB2312" w:hAnsi="宋体" w:eastAsia="仿宋_GB2312" w:cs="宋体"/>
                <w:b/>
                <w:kern w:val="0"/>
                <w:sz w:val="28"/>
                <w:szCs w:val="28"/>
              </w:rPr>
            </w:pPr>
            <w:r>
              <w:rPr>
                <w:rFonts w:hint="eastAsia" w:ascii="仿宋_GB2312" w:hAnsi="宋体" w:eastAsia="仿宋_GB2312" w:cs="宋体"/>
                <w:b/>
                <w:kern w:val="0"/>
                <w:sz w:val="28"/>
                <w:szCs w:val="28"/>
              </w:rPr>
              <w:t>7级</w:t>
            </w:r>
          </w:p>
        </w:tc>
        <w:tc>
          <w:tcPr>
            <w:tcW w:w="302" w:type="pct"/>
            <w:tcBorders>
              <w:left w:val="single" w:color="auto" w:sz="4" w:space="0"/>
              <w:right w:val="single" w:color="000000" w:sz="4" w:space="0"/>
            </w:tcBorders>
            <w:shd w:val="clear" w:color="auto" w:fill="auto"/>
            <w:vAlign w:val="center"/>
          </w:tcPr>
          <w:p>
            <w:pPr>
              <w:widowControl/>
              <w:spacing w:line="360" w:lineRule="exact"/>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15</w:t>
            </w:r>
          </w:p>
        </w:tc>
        <w:tc>
          <w:tcPr>
            <w:tcW w:w="2168" w:type="pct"/>
            <w:tcBorders>
              <w:top w:val="single" w:color="auto" w:sz="4" w:space="0"/>
              <w:left w:val="single" w:color="auto" w:sz="4" w:space="0"/>
              <w:right w:val="single" w:color="auto" w:sz="4" w:space="0"/>
            </w:tcBorders>
            <w:vAlign w:val="center"/>
          </w:tcPr>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1.省自然科学基金面上项目。</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2.省教育厅自然科学研究重大项目。</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3.国家重大科技专项任务、国家重点研发计划项目任务、国防或军队重要科研项目任务、国家自然科学基金重大（重点）项目子课题，且到账经费20万元及以上。</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4.国家部委或省级委托专项课题，且到账经费20万元及以上。</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5.省直厅局部门委托专项课题，且到账经费30万元及以上。</w:t>
            </w:r>
          </w:p>
        </w:tc>
        <w:tc>
          <w:tcPr>
            <w:tcW w:w="1581"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1.省哲学社会科学规划项目。</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2.省教育厅人文社科研究重点项目。</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3.省领导圈定课题。</w:t>
            </w:r>
          </w:p>
          <w:p>
            <w:pPr>
              <w:spacing w:line="360" w:lineRule="exact"/>
              <w:rPr>
                <w:rFonts w:ascii="仿宋_GB2312" w:hAnsi="宋体" w:eastAsia="仿宋_GB2312" w:cs="宋体"/>
                <w:kern w:val="0"/>
                <w:sz w:val="28"/>
                <w:szCs w:val="28"/>
              </w:rPr>
            </w:pPr>
            <w:r>
              <w:rPr>
                <w:rFonts w:hint="eastAsia" w:ascii="仿宋_GB2312" w:hAnsi="宋体" w:eastAsia="仿宋_GB2312" w:cs="宋体"/>
                <w:b/>
                <w:color w:val="FF0000"/>
                <w:kern w:val="0"/>
                <w:sz w:val="28"/>
                <w:szCs w:val="28"/>
              </w:rPr>
              <w:t>4.省社科联</w:t>
            </w:r>
            <w:r>
              <w:rPr>
                <w:rFonts w:hint="eastAsia" w:ascii="仿宋_GB2312" w:hAnsi="宋体" w:eastAsia="仿宋_GB2312" w:cs="宋体"/>
                <w:kern w:val="0"/>
                <w:sz w:val="28"/>
                <w:szCs w:val="28"/>
              </w:rPr>
              <w:t>社会科学创新发展研究课题攻关研究项目。</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5.国家体育总局一般项目。</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6.国家部委或省级委托专项课题。</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7.省教育厅优秀拔尖人才培育资助重点项目（高校学科拔尖人才学术资助重点项目、高校优秀青年人才支持计划重点项目）（科研类）。</w:t>
            </w:r>
          </w:p>
        </w:tc>
        <w:tc>
          <w:tcPr>
            <w:tcW w:w="653" w:type="pct"/>
            <w:tcBorders>
              <w:left w:val="single" w:color="auto" w:sz="4" w:space="0"/>
              <w:right w:val="single" w:color="auto" w:sz="4" w:space="0"/>
            </w:tcBorders>
            <w:vAlign w:val="center"/>
          </w:tcPr>
          <w:p>
            <w:pPr>
              <w:spacing w:line="360" w:lineRule="exact"/>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单项到校经费达到50万及以上。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294" w:type="pct"/>
            <w:tcBorders>
              <w:left w:val="single" w:color="auto" w:sz="4" w:space="0"/>
              <w:bottom w:val="single" w:color="auto" w:sz="4" w:space="0"/>
              <w:right w:val="single" w:color="auto" w:sz="4" w:space="0"/>
            </w:tcBorders>
            <w:vAlign w:val="center"/>
          </w:tcPr>
          <w:p>
            <w:pPr>
              <w:spacing w:line="360" w:lineRule="exact"/>
              <w:jc w:val="center"/>
              <w:rPr>
                <w:rFonts w:ascii="仿宋_GB2312" w:hAnsi="宋体" w:eastAsia="仿宋_GB2312" w:cs="宋体"/>
                <w:b/>
                <w:kern w:val="0"/>
                <w:sz w:val="28"/>
                <w:szCs w:val="28"/>
              </w:rPr>
            </w:pPr>
            <w:r>
              <w:rPr>
                <w:rFonts w:hint="eastAsia" w:ascii="仿宋_GB2312" w:hAnsi="宋体" w:eastAsia="仿宋_GB2312" w:cs="宋体"/>
                <w:b/>
                <w:kern w:val="0"/>
                <w:sz w:val="28"/>
                <w:szCs w:val="28"/>
              </w:rPr>
              <w:t>8级</w:t>
            </w:r>
          </w:p>
        </w:tc>
        <w:tc>
          <w:tcPr>
            <w:tcW w:w="302" w:type="pct"/>
            <w:tcBorders>
              <w:left w:val="single" w:color="auto" w:sz="4" w:space="0"/>
              <w:bottom w:val="single" w:color="auto" w:sz="4" w:space="0"/>
              <w:right w:val="single" w:color="auto" w:sz="4" w:space="0"/>
            </w:tcBorders>
            <w:shd w:val="clear" w:color="auto" w:fill="auto"/>
            <w:vAlign w:val="center"/>
          </w:tcPr>
          <w:p>
            <w:pPr>
              <w:widowControl/>
              <w:spacing w:line="360" w:lineRule="exact"/>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10</w:t>
            </w:r>
          </w:p>
        </w:tc>
        <w:tc>
          <w:tcPr>
            <w:tcW w:w="2168" w:type="pct"/>
            <w:tcBorders>
              <w:left w:val="single" w:color="auto" w:sz="4" w:space="0"/>
              <w:bottom w:val="single" w:color="auto" w:sz="4" w:space="0"/>
              <w:right w:val="single" w:color="auto" w:sz="4" w:space="0"/>
            </w:tcBorders>
            <w:shd w:val="clear" w:color="auto" w:fill="auto"/>
            <w:vAlign w:val="center"/>
          </w:tcPr>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1.教育部留学回国人员科研启动基金项目。</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2.高校博士学科点专项科研基金（新教师基金课题）项目。</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3.中国博士后科学基金项目。</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4.创新型省份专项项目。</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5.省自然科学基金青年项目。</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6.省教育厅优秀拔尖人才培育资助重点项目（高校学科拔尖人才学术资助重点项目、高校优秀青年人才支持计划重点项目）（科研类）。</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7.国家其他部委或省级委托专项课题。</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8.国家重点实验室和国家工程（技术）研究中心开放基金项目，且到账经费5万元及以上。</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9.国家重大科技专项任务、国家重点研发计划项目任务、国防或军队重要科研项目任务、国家自然科学基金项目子课题、省重大科技专项子课题，且到账经费10万元及以上。</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10.省直厅局部门委托专项课题，且到账经费20万元及以上。</w:t>
            </w:r>
          </w:p>
        </w:tc>
        <w:tc>
          <w:tcPr>
            <w:tcW w:w="1581"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1.国家社科基金重大项目任务、国家社科基金任务，且到账经费5万元及以上。</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2.省直厅局部门委托专项课题，且到账经费10万元及以上。</w:t>
            </w:r>
          </w:p>
          <w:p>
            <w:pPr>
              <w:spacing w:line="360" w:lineRule="exact"/>
              <w:rPr>
                <w:rFonts w:ascii="仿宋_GB2312" w:hAnsi="宋体" w:eastAsia="仿宋_GB2312" w:cs="宋体"/>
                <w:kern w:val="0"/>
                <w:sz w:val="28"/>
                <w:szCs w:val="28"/>
              </w:rPr>
            </w:pPr>
            <w:r>
              <w:rPr>
                <w:rFonts w:hint="eastAsia" w:ascii="仿宋_GB2312" w:hAnsi="宋体" w:eastAsia="仿宋_GB2312" w:cs="宋体"/>
                <w:kern w:val="0"/>
                <w:sz w:val="28"/>
                <w:szCs w:val="28"/>
              </w:rPr>
              <w:t>3.教育厅人文社科研究基地重点项目，且到账经费2万元及以上。</w:t>
            </w:r>
          </w:p>
          <w:p>
            <w:pPr>
              <w:spacing w:line="360" w:lineRule="exact"/>
              <w:rPr>
                <w:rFonts w:ascii="仿宋_GB2312" w:hAnsi="宋体" w:eastAsia="仿宋_GB2312" w:cs="宋体"/>
                <w:kern w:val="0"/>
                <w:sz w:val="28"/>
                <w:szCs w:val="28"/>
              </w:rPr>
            </w:pPr>
          </w:p>
        </w:tc>
        <w:tc>
          <w:tcPr>
            <w:tcW w:w="653"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单项到校经费达到30万及以上。</w:t>
            </w:r>
          </w:p>
        </w:tc>
      </w:tr>
    </w:tbl>
    <w:p>
      <w:pPr>
        <w:widowControl/>
        <w:jc w:val="center"/>
        <w:rPr>
          <w:rFonts w:ascii="Times New Roman" w:hAnsi="Times New Roman" w:eastAsia="黑体" w:cs="Times New Roman"/>
          <w:sz w:val="32"/>
          <w:szCs w:val="32"/>
        </w:rPr>
      </w:pPr>
    </w:p>
    <w:p>
      <w:pPr>
        <w:rPr>
          <w:rFonts w:ascii="黑体" w:hAnsi="黑体" w:eastAsia="黑体" w:cs="仿宋_GB2312"/>
          <w:sz w:val="24"/>
        </w:rPr>
      </w:pPr>
      <w:r>
        <w:rPr>
          <w:rFonts w:ascii="黑体" w:hAnsi="黑体" w:eastAsia="黑体" w:cs="仿宋_GB2312"/>
          <w:sz w:val="24"/>
        </w:rPr>
        <w:br w:type="page"/>
      </w:r>
    </w:p>
    <w:p>
      <w:pPr>
        <w:snapToGrid w:val="0"/>
        <w:spacing w:line="400" w:lineRule="exact"/>
        <w:jc w:val="center"/>
        <w:rPr>
          <w:rFonts w:ascii="Calibri" w:hAnsi="Calibri" w:eastAsia="宋体" w:cs="Times New Roman"/>
          <w:sz w:val="32"/>
          <w:szCs w:val="32"/>
        </w:rPr>
      </w:pPr>
      <w:r>
        <w:rPr>
          <w:rFonts w:hint="eastAsia" w:ascii="黑体" w:hAnsi="黑体" w:eastAsia="黑体" w:cs="仿宋_GB2312"/>
          <w:sz w:val="32"/>
          <w:szCs w:val="32"/>
        </w:rPr>
        <w:t>表</w:t>
      </w:r>
      <w:r>
        <w:rPr>
          <w:rFonts w:ascii="黑体" w:hAnsi="黑体" w:eastAsia="黑体" w:cs="仿宋_GB2312"/>
          <w:sz w:val="32"/>
          <w:szCs w:val="32"/>
        </w:rPr>
        <w:t>2</w:t>
      </w:r>
      <w:r>
        <w:rPr>
          <w:rFonts w:hint="eastAsia" w:ascii="黑体" w:hAnsi="黑体" w:eastAsia="黑体" w:cs="仿宋_GB2312"/>
          <w:sz w:val="32"/>
          <w:szCs w:val="32"/>
        </w:rPr>
        <w:t>安徽工程大学科研论文级别分类表</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4"/>
        <w:gridCol w:w="6455"/>
        <w:gridCol w:w="1114"/>
        <w:gridCol w:w="62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54" w:type="pct"/>
            <w:vAlign w:val="center"/>
          </w:tcPr>
          <w:p>
            <w:pPr>
              <w:snapToGrid w:val="0"/>
              <w:spacing w:line="360" w:lineRule="exact"/>
              <w:jc w:val="center"/>
              <w:rPr>
                <w:rFonts w:ascii="Times New Roman" w:hAnsi="Times New Roman" w:eastAsia="仿宋_GB2312" w:cs="Times New Roman"/>
                <w:b/>
                <w:sz w:val="28"/>
                <w:szCs w:val="28"/>
              </w:rPr>
            </w:pPr>
            <w:r>
              <w:rPr>
                <w:rFonts w:ascii="Times New Roman" w:hAnsi="Times New Roman" w:eastAsia="仿宋_GB2312" w:cs="Times New Roman"/>
                <w:b/>
                <w:sz w:val="28"/>
                <w:szCs w:val="28"/>
              </w:rPr>
              <w:t>级别</w:t>
            </w:r>
          </w:p>
        </w:tc>
        <w:tc>
          <w:tcPr>
            <w:tcW w:w="2167" w:type="pct"/>
            <w:vAlign w:val="center"/>
          </w:tcPr>
          <w:p>
            <w:pPr>
              <w:snapToGrid w:val="0"/>
              <w:spacing w:line="360" w:lineRule="exact"/>
              <w:jc w:val="center"/>
              <w:rPr>
                <w:rFonts w:ascii="Times New Roman" w:hAnsi="Times New Roman" w:eastAsia="仿宋_GB2312" w:cs="Times New Roman"/>
                <w:b/>
                <w:sz w:val="28"/>
                <w:szCs w:val="28"/>
              </w:rPr>
            </w:pPr>
            <w:r>
              <w:rPr>
                <w:rFonts w:ascii="Times New Roman" w:hAnsi="Times New Roman" w:eastAsia="仿宋_GB2312" w:cs="Times New Roman"/>
                <w:b/>
                <w:sz w:val="28"/>
                <w:szCs w:val="28"/>
              </w:rPr>
              <w:t>等级</w:t>
            </w:r>
          </w:p>
        </w:tc>
        <w:tc>
          <w:tcPr>
            <w:tcW w:w="374" w:type="pct"/>
            <w:vAlign w:val="center"/>
          </w:tcPr>
          <w:p>
            <w:pPr>
              <w:snapToGrid w:val="0"/>
              <w:spacing w:line="360" w:lineRule="exact"/>
              <w:jc w:val="center"/>
              <w:rPr>
                <w:rFonts w:ascii="Times New Roman" w:hAnsi="Times New Roman" w:eastAsia="仿宋_GB2312" w:cs="Times New Roman"/>
                <w:b/>
                <w:sz w:val="28"/>
                <w:szCs w:val="28"/>
              </w:rPr>
            </w:pPr>
            <w:r>
              <w:rPr>
                <w:rFonts w:hint="eastAsia" w:ascii="Times New Roman" w:hAnsi="Times New Roman" w:eastAsia="仿宋_GB2312" w:cs="Times New Roman"/>
                <w:b/>
                <w:sz w:val="28"/>
                <w:szCs w:val="28"/>
              </w:rPr>
              <w:t>分值</w:t>
            </w:r>
          </w:p>
        </w:tc>
        <w:tc>
          <w:tcPr>
            <w:tcW w:w="2105" w:type="pct"/>
            <w:vAlign w:val="center"/>
          </w:tcPr>
          <w:p>
            <w:pPr>
              <w:snapToGrid w:val="0"/>
              <w:spacing w:line="360" w:lineRule="exact"/>
              <w:jc w:val="center"/>
              <w:rPr>
                <w:rFonts w:ascii="Times New Roman" w:hAnsi="Times New Roman" w:eastAsia="仿宋_GB2312" w:cs="Times New Roman"/>
                <w:b/>
                <w:sz w:val="28"/>
                <w:szCs w:val="28"/>
              </w:rPr>
            </w:pPr>
            <w:r>
              <w:rPr>
                <w:rFonts w:ascii="Times New Roman" w:hAnsi="Times New Roman" w:eastAsia="仿宋_GB2312" w:cs="Times New Roman"/>
                <w:b/>
                <w:sz w:val="28"/>
                <w:szCs w:val="28"/>
              </w:rPr>
              <w:t>认定说明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4" w:type="pct"/>
            <w:vAlign w:val="center"/>
          </w:tcPr>
          <w:p>
            <w:pPr>
              <w:snapToGrid w:val="0"/>
              <w:spacing w:line="360" w:lineRule="exact"/>
              <w:jc w:val="center"/>
              <w:rPr>
                <w:rFonts w:ascii="Times New Roman" w:hAnsi="Times New Roman" w:eastAsia="仿宋_GB2312" w:cs="Times New Roman"/>
                <w:b/>
                <w:bCs/>
                <w:sz w:val="28"/>
                <w:szCs w:val="28"/>
              </w:rPr>
            </w:pPr>
            <w:r>
              <w:rPr>
                <w:rFonts w:ascii="Times New Roman" w:hAnsi="Times New Roman" w:eastAsia="仿宋_GB2312" w:cs="Times New Roman"/>
                <w:b/>
                <w:bCs/>
                <w:sz w:val="28"/>
                <w:szCs w:val="28"/>
              </w:rPr>
              <w:t>1级</w:t>
            </w:r>
          </w:p>
        </w:tc>
        <w:tc>
          <w:tcPr>
            <w:tcW w:w="2167" w:type="pct"/>
            <w:vAlign w:val="center"/>
          </w:tcPr>
          <w:p>
            <w:pPr>
              <w:autoSpaceDE w:val="0"/>
              <w:autoSpaceDN w:val="0"/>
              <w:adjustRightInd w:val="0"/>
              <w:spacing w:line="36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《Science》《Nature》《Cell》期刊论文。</w:t>
            </w:r>
          </w:p>
        </w:tc>
        <w:tc>
          <w:tcPr>
            <w:tcW w:w="374"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500</w:t>
            </w:r>
          </w:p>
        </w:tc>
        <w:tc>
          <w:tcPr>
            <w:tcW w:w="2105" w:type="pct"/>
            <w:vMerge w:val="restart"/>
            <w:vAlign w:val="center"/>
          </w:tcPr>
          <w:p>
            <w:pPr>
              <w:autoSpaceDE w:val="0"/>
              <w:autoSpaceDN w:val="0"/>
              <w:adjustRightInd w:val="0"/>
              <w:spacing w:line="36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（1）SCI分区按照中国科学院文献情报中心上一年度公布的</w:t>
            </w:r>
            <w:r>
              <w:rPr>
                <w:rFonts w:hint="eastAsia" w:ascii="Times New Roman" w:hAnsi="Times New Roman" w:eastAsia="仿宋_GB2312" w:cs="Times New Roman"/>
                <w:kern w:val="0"/>
                <w:sz w:val="28"/>
                <w:szCs w:val="28"/>
              </w:rPr>
              <w:t>大类</w:t>
            </w:r>
            <w:r>
              <w:rPr>
                <w:rFonts w:ascii="Times New Roman" w:hAnsi="Times New Roman" w:eastAsia="仿宋_GB2312" w:cs="Times New Roman"/>
                <w:kern w:val="0"/>
                <w:sz w:val="28"/>
                <w:szCs w:val="28"/>
              </w:rPr>
              <w:t>分区表进行。</w:t>
            </w:r>
          </w:p>
          <w:p>
            <w:pPr>
              <w:autoSpaceDE w:val="0"/>
              <w:autoSpaceDN w:val="0"/>
              <w:adjustRightInd w:val="0"/>
              <w:spacing w:line="36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（2）一篇论文同时被多种索引收录，按最高标准计算。</w:t>
            </w:r>
          </w:p>
          <w:p>
            <w:pPr>
              <w:autoSpaceDE w:val="0"/>
              <w:autoSpaceDN w:val="0"/>
              <w:adjustRightInd w:val="0"/>
              <w:spacing w:line="36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（3）只计算论文第一作者（我校为第一单位）论文。教师指导的本校学生为第一作者，导师为</w:t>
            </w:r>
            <w:r>
              <w:rPr>
                <w:rFonts w:hint="eastAsia" w:ascii="Times New Roman" w:hAnsi="Times New Roman" w:eastAsia="仿宋_GB2312" w:cs="Times New Roman"/>
                <w:kern w:val="0"/>
                <w:sz w:val="28"/>
                <w:szCs w:val="28"/>
              </w:rPr>
              <w:t>通讯作者</w:t>
            </w:r>
            <w:r>
              <w:rPr>
                <w:rFonts w:ascii="Times New Roman" w:hAnsi="Times New Roman" w:eastAsia="仿宋_GB2312" w:cs="Times New Roman"/>
                <w:kern w:val="0"/>
                <w:sz w:val="28"/>
                <w:szCs w:val="28"/>
              </w:rPr>
              <w:t>时，按照第一作者计算导师科研</w:t>
            </w:r>
            <w:r>
              <w:rPr>
                <w:rFonts w:hint="eastAsia" w:ascii="Times New Roman" w:hAnsi="Times New Roman" w:eastAsia="仿宋_GB2312" w:cs="Times New Roman"/>
                <w:kern w:val="0"/>
                <w:sz w:val="28"/>
                <w:szCs w:val="28"/>
              </w:rPr>
              <w:t>分值</w:t>
            </w:r>
            <w:r>
              <w:rPr>
                <w:rFonts w:ascii="Times New Roman" w:hAnsi="Times New Roman" w:eastAsia="仿宋_GB2312" w:cs="Times New Roman"/>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4" w:type="pct"/>
            <w:vAlign w:val="center"/>
          </w:tcPr>
          <w:p>
            <w:pPr>
              <w:snapToGrid w:val="0"/>
              <w:spacing w:line="360" w:lineRule="exact"/>
              <w:jc w:val="center"/>
              <w:rPr>
                <w:rFonts w:ascii="Times New Roman" w:hAnsi="Times New Roman" w:eastAsia="仿宋_GB2312" w:cs="Times New Roman"/>
                <w:b/>
                <w:bCs/>
                <w:sz w:val="28"/>
                <w:szCs w:val="28"/>
              </w:rPr>
            </w:pPr>
            <w:r>
              <w:rPr>
                <w:rFonts w:ascii="Times New Roman" w:hAnsi="Times New Roman" w:eastAsia="仿宋_GB2312" w:cs="Times New Roman"/>
                <w:b/>
                <w:bCs/>
                <w:sz w:val="28"/>
                <w:szCs w:val="28"/>
              </w:rPr>
              <w:t>2级</w:t>
            </w:r>
          </w:p>
        </w:tc>
        <w:tc>
          <w:tcPr>
            <w:tcW w:w="2167" w:type="pct"/>
            <w:vAlign w:val="center"/>
          </w:tcPr>
          <w:p>
            <w:pPr>
              <w:autoSpaceDE w:val="0"/>
              <w:autoSpaceDN w:val="0"/>
              <w:adjustRightInd w:val="0"/>
              <w:spacing w:line="36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《Science》子刊、《Nature》子刊、《Cell》子刊论文。</w:t>
            </w:r>
          </w:p>
        </w:tc>
        <w:tc>
          <w:tcPr>
            <w:tcW w:w="374"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100</w:t>
            </w:r>
          </w:p>
        </w:tc>
        <w:tc>
          <w:tcPr>
            <w:tcW w:w="2105" w:type="pct"/>
            <w:vMerge w:val="continue"/>
            <w:vAlign w:val="center"/>
          </w:tcPr>
          <w:p>
            <w:pPr>
              <w:autoSpaceDE w:val="0"/>
              <w:autoSpaceDN w:val="0"/>
              <w:adjustRightInd w:val="0"/>
              <w:spacing w:line="360" w:lineRule="exact"/>
              <w:rPr>
                <w:rFonts w:ascii="Times New Roman" w:hAnsi="Times New Roman" w:eastAsia="仿宋_GB2312" w:cs="Times New Roman"/>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4" w:type="pct"/>
            <w:vAlign w:val="center"/>
          </w:tcPr>
          <w:p>
            <w:pPr>
              <w:snapToGrid w:val="0"/>
              <w:spacing w:line="360" w:lineRule="exact"/>
              <w:jc w:val="center"/>
              <w:rPr>
                <w:rFonts w:ascii="Times New Roman" w:hAnsi="Times New Roman" w:eastAsia="仿宋_GB2312" w:cs="Times New Roman"/>
                <w:b/>
                <w:bCs/>
                <w:sz w:val="28"/>
                <w:szCs w:val="28"/>
              </w:rPr>
            </w:pPr>
            <w:r>
              <w:rPr>
                <w:rFonts w:ascii="Times New Roman" w:hAnsi="Times New Roman" w:eastAsia="仿宋_GB2312" w:cs="Times New Roman"/>
                <w:b/>
                <w:bCs/>
                <w:sz w:val="28"/>
                <w:szCs w:val="28"/>
              </w:rPr>
              <w:t>3级</w:t>
            </w:r>
          </w:p>
        </w:tc>
        <w:tc>
          <w:tcPr>
            <w:tcW w:w="2167" w:type="pct"/>
            <w:vAlign w:val="center"/>
          </w:tcPr>
          <w:p>
            <w:pPr>
              <w:autoSpaceDE w:val="0"/>
              <w:autoSpaceDN w:val="0"/>
              <w:adjustRightInd w:val="0"/>
              <w:spacing w:line="36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ESI期刊论文、《中国科学》《科学通报》《中国社会科学》。</w:t>
            </w:r>
          </w:p>
        </w:tc>
        <w:tc>
          <w:tcPr>
            <w:tcW w:w="374"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50</w:t>
            </w:r>
          </w:p>
        </w:tc>
        <w:tc>
          <w:tcPr>
            <w:tcW w:w="2105" w:type="pct"/>
            <w:vMerge w:val="continue"/>
            <w:vAlign w:val="center"/>
          </w:tcPr>
          <w:p>
            <w:pPr>
              <w:autoSpaceDE w:val="0"/>
              <w:autoSpaceDN w:val="0"/>
              <w:adjustRightInd w:val="0"/>
              <w:spacing w:line="360" w:lineRule="exact"/>
              <w:rPr>
                <w:rFonts w:ascii="Times New Roman" w:hAnsi="Times New Roman" w:eastAsia="仿宋_GB2312" w:cs="Times New Roman"/>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4" w:type="pct"/>
            <w:vAlign w:val="center"/>
          </w:tcPr>
          <w:p>
            <w:pPr>
              <w:snapToGrid w:val="0"/>
              <w:spacing w:line="360" w:lineRule="exact"/>
              <w:jc w:val="center"/>
              <w:rPr>
                <w:rFonts w:ascii="Times New Roman" w:hAnsi="Times New Roman" w:eastAsia="仿宋_GB2312" w:cs="Times New Roman"/>
                <w:b/>
                <w:bCs/>
                <w:sz w:val="28"/>
                <w:szCs w:val="28"/>
              </w:rPr>
            </w:pPr>
            <w:r>
              <w:rPr>
                <w:rFonts w:ascii="Times New Roman" w:hAnsi="Times New Roman" w:eastAsia="仿宋_GB2312" w:cs="Times New Roman"/>
                <w:b/>
                <w:bCs/>
                <w:sz w:val="28"/>
                <w:szCs w:val="28"/>
              </w:rPr>
              <w:t>4级</w:t>
            </w:r>
          </w:p>
        </w:tc>
        <w:tc>
          <w:tcPr>
            <w:tcW w:w="2167" w:type="pct"/>
            <w:vAlign w:val="center"/>
          </w:tcPr>
          <w:p>
            <w:pPr>
              <w:autoSpaceDE w:val="0"/>
              <w:autoSpaceDN w:val="0"/>
              <w:adjustRightInd w:val="0"/>
              <w:spacing w:line="36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SCI一区收录期刊论文、SSCI</w:t>
            </w:r>
            <w:r>
              <w:rPr>
                <w:rFonts w:hint="eastAsia" w:ascii="Times New Roman" w:hAnsi="Times New Roman" w:eastAsia="仿宋_GB2312" w:cs="Times New Roman"/>
                <w:kern w:val="0"/>
                <w:sz w:val="28"/>
                <w:szCs w:val="28"/>
              </w:rPr>
              <w:t>一区</w:t>
            </w:r>
            <w:r>
              <w:rPr>
                <w:rFonts w:ascii="Times New Roman" w:hAnsi="Times New Roman" w:eastAsia="仿宋_GB2312" w:cs="Times New Roman"/>
                <w:kern w:val="0"/>
                <w:sz w:val="28"/>
                <w:szCs w:val="28"/>
              </w:rPr>
              <w:t>收录期刊论文、A&amp;HCI收录期刊论文。</w:t>
            </w:r>
          </w:p>
        </w:tc>
        <w:tc>
          <w:tcPr>
            <w:tcW w:w="374"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15</w:t>
            </w:r>
          </w:p>
        </w:tc>
        <w:tc>
          <w:tcPr>
            <w:tcW w:w="2105" w:type="pct"/>
            <w:vMerge w:val="continue"/>
            <w:vAlign w:val="center"/>
          </w:tcPr>
          <w:p>
            <w:pPr>
              <w:snapToGrid w:val="0"/>
              <w:spacing w:line="360" w:lineRule="exact"/>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4" w:type="pct"/>
            <w:vAlign w:val="center"/>
          </w:tcPr>
          <w:p>
            <w:pPr>
              <w:snapToGrid w:val="0"/>
              <w:spacing w:line="360" w:lineRule="exact"/>
              <w:jc w:val="center"/>
              <w:rPr>
                <w:rFonts w:ascii="Times New Roman" w:hAnsi="Times New Roman" w:eastAsia="仿宋_GB2312" w:cs="Times New Roman"/>
                <w:b/>
                <w:bCs/>
                <w:sz w:val="28"/>
                <w:szCs w:val="28"/>
              </w:rPr>
            </w:pPr>
            <w:r>
              <w:rPr>
                <w:rFonts w:ascii="Times New Roman" w:hAnsi="Times New Roman" w:eastAsia="仿宋_GB2312" w:cs="Times New Roman"/>
                <w:b/>
                <w:bCs/>
                <w:sz w:val="28"/>
                <w:szCs w:val="28"/>
              </w:rPr>
              <w:t>5级</w:t>
            </w:r>
          </w:p>
        </w:tc>
        <w:tc>
          <w:tcPr>
            <w:tcW w:w="2167" w:type="pct"/>
          </w:tcPr>
          <w:p>
            <w:pPr>
              <w:autoSpaceDE w:val="0"/>
              <w:autoSpaceDN w:val="0"/>
              <w:adjustRightInd w:val="0"/>
              <w:spacing w:line="36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SCI二区收录期刊论文，SSCI</w:t>
            </w:r>
            <w:r>
              <w:rPr>
                <w:rFonts w:hint="eastAsia" w:ascii="Times New Roman" w:hAnsi="Times New Roman" w:eastAsia="仿宋_GB2312" w:cs="Times New Roman"/>
                <w:kern w:val="0"/>
                <w:sz w:val="28"/>
                <w:szCs w:val="28"/>
              </w:rPr>
              <w:t>二区</w:t>
            </w:r>
            <w:r>
              <w:rPr>
                <w:rFonts w:ascii="Times New Roman" w:hAnsi="Times New Roman" w:eastAsia="仿宋_GB2312" w:cs="Times New Roman"/>
                <w:kern w:val="0"/>
                <w:sz w:val="28"/>
                <w:szCs w:val="28"/>
              </w:rPr>
              <w:t>收录期刊论文</w:t>
            </w: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CSSCI收录期刊论文，光明日报（理论版），人民日报（理论版），人大复印资料。</w:t>
            </w:r>
          </w:p>
        </w:tc>
        <w:tc>
          <w:tcPr>
            <w:tcW w:w="374"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w:t>
            </w:r>
            <w:r>
              <w:rPr>
                <w:rFonts w:hint="eastAsia" w:ascii="Times New Roman" w:hAnsi="Times New Roman" w:eastAsia="仿宋_GB2312" w:cs="Times New Roman"/>
                <w:kern w:val="0"/>
                <w:sz w:val="28"/>
                <w:szCs w:val="28"/>
              </w:rPr>
              <w:t>0</w:t>
            </w:r>
          </w:p>
        </w:tc>
        <w:tc>
          <w:tcPr>
            <w:tcW w:w="2105" w:type="pct"/>
            <w:vMerge w:val="continue"/>
            <w:vAlign w:val="center"/>
          </w:tcPr>
          <w:p>
            <w:pPr>
              <w:snapToGrid w:val="0"/>
              <w:spacing w:line="360" w:lineRule="exact"/>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4" w:type="pct"/>
            <w:vAlign w:val="center"/>
          </w:tcPr>
          <w:p>
            <w:pPr>
              <w:snapToGrid w:val="0"/>
              <w:spacing w:line="360" w:lineRule="exact"/>
              <w:jc w:val="center"/>
              <w:rPr>
                <w:rFonts w:ascii="Times New Roman" w:hAnsi="Times New Roman" w:eastAsia="仿宋_GB2312" w:cs="Times New Roman"/>
                <w:b/>
                <w:bCs/>
                <w:sz w:val="28"/>
                <w:szCs w:val="28"/>
              </w:rPr>
            </w:pPr>
            <w:r>
              <w:rPr>
                <w:rFonts w:ascii="Times New Roman" w:hAnsi="Times New Roman" w:eastAsia="仿宋_GB2312" w:cs="Times New Roman"/>
                <w:b/>
                <w:bCs/>
                <w:sz w:val="28"/>
                <w:szCs w:val="28"/>
              </w:rPr>
              <w:t>6级</w:t>
            </w:r>
          </w:p>
        </w:tc>
        <w:tc>
          <w:tcPr>
            <w:tcW w:w="2167" w:type="pct"/>
          </w:tcPr>
          <w:p>
            <w:pPr>
              <w:autoSpaceDE w:val="0"/>
              <w:autoSpaceDN w:val="0"/>
              <w:adjustRightInd w:val="0"/>
              <w:spacing w:line="36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SCI三区、四区收录期刊论文，SSCI</w:t>
            </w:r>
            <w:r>
              <w:rPr>
                <w:rFonts w:hint="eastAsia" w:ascii="Times New Roman" w:hAnsi="Times New Roman" w:eastAsia="仿宋_GB2312" w:cs="Times New Roman"/>
                <w:kern w:val="0"/>
                <w:sz w:val="28"/>
                <w:szCs w:val="28"/>
              </w:rPr>
              <w:t>三区、四区</w:t>
            </w:r>
            <w:r>
              <w:rPr>
                <w:rFonts w:ascii="Times New Roman" w:hAnsi="Times New Roman" w:eastAsia="仿宋_GB2312" w:cs="Times New Roman"/>
                <w:kern w:val="0"/>
                <w:sz w:val="28"/>
                <w:szCs w:val="28"/>
              </w:rPr>
              <w:t>收录期刊论文</w:t>
            </w:r>
            <w:r>
              <w:rPr>
                <w:rFonts w:hint="eastAsia" w:ascii="Times New Roman" w:hAnsi="Times New Roman" w:eastAsia="仿宋_GB2312" w:cs="Times New Roman"/>
                <w:kern w:val="0"/>
                <w:sz w:val="28"/>
                <w:szCs w:val="28"/>
              </w:rPr>
              <w:t>，</w:t>
            </w:r>
            <w:r>
              <w:rPr>
                <w:rFonts w:ascii="Times New Roman" w:hAnsi="Times New Roman" w:eastAsia="仿宋_GB2312" w:cs="Times New Roman"/>
                <w:kern w:val="0"/>
                <w:sz w:val="28"/>
                <w:szCs w:val="28"/>
              </w:rPr>
              <w:t>CSSCI扩展收录期刊论文</w:t>
            </w:r>
            <w:r>
              <w:rPr>
                <w:rFonts w:hint="eastAsia" w:ascii="Times New Roman" w:hAnsi="Times New Roman" w:eastAsia="仿宋_GB2312" w:cs="Times New Roman"/>
                <w:kern w:val="0"/>
                <w:sz w:val="28"/>
                <w:szCs w:val="28"/>
              </w:rPr>
              <w:t>，人文社会科学学科A类、B类中文期刊和理工学科A类中文期刊目录，北核（社科类）</w:t>
            </w:r>
            <w:r>
              <w:rPr>
                <w:rFonts w:ascii="Times New Roman" w:hAnsi="Times New Roman" w:eastAsia="仿宋_GB2312" w:cs="Times New Roman"/>
                <w:kern w:val="0"/>
                <w:sz w:val="28"/>
                <w:szCs w:val="28"/>
              </w:rPr>
              <w:t>。</w:t>
            </w:r>
          </w:p>
        </w:tc>
        <w:tc>
          <w:tcPr>
            <w:tcW w:w="374"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8</w:t>
            </w:r>
          </w:p>
        </w:tc>
        <w:tc>
          <w:tcPr>
            <w:tcW w:w="2105" w:type="pct"/>
            <w:vMerge w:val="continue"/>
            <w:vAlign w:val="center"/>
          </w:tcPr>
          <w:p>
            <w:pPr>
              <w:snapToGrid w:val="0"/>
              <w:spacing w:line="360" w:lineRule="exact"/>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54" w:type="pct"/>
            <w:vAlign w:val="center"/>
          </w:tcPr>
          <w:p>
            <w:pPr>
              <w:snapToGrid w:val="0"/>
              <w:spacing w:line="360" w:lineRule="exact"/>
              <w:jc w:val="center"/>
              <w:rPr>
                <w:rFonts w:ascii="Times New Roman" w:hAnsi="Times New Roman" w:eastAsia="仿宋_GB2312" w:cs="Times New Roman"/>
                <w:b/>
                <w:bCs/>
                <w:sz w:val="28"/>
                <w:szCs w:val="28"/>
              </w:rPr>
            </w:pPr>
            <w:r>
              <w:rPr>
                <w:rFonts w:ascii="Times New Roman" w:hAnsi="Times New Roman" w:eastAsia="仿宋_GB2312" w:cs="Times New Roman"/>
                <w:b/>
                <w:bCs/>
                <w:sz w:val="28"/>
                <w:szCs w:val="28"/>
              </w:rPr>
              <w:t>7级</w:t>
            </w:r>
          </w:p>
        </w:tc>
        <w:tc>
          <w:tcPr>
            <w:tcW w:w="2167" w:type="pct"/>
          </w:tcPr>
          <w:p>
            <w:pPr>
              <w:autoSpaceDE w:val="0"/>
              <w:autoSpaceDN w:val="0"/>
              <w:adjustRightInd w:val="0"/>
              <w:spacing w:line="36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CSCD（C）、EI收录的期刊论文，安徽日报（理论版）</w:t>
            </w:r>
            <w:r>
              <w:rPr>
                <w:rFonts w:hint="eastAsia" w:ascii="Times New Roman" w:hAnsi="Times New Roman" w:eastAsia="仿宋_GB2312" w:cs="Times New Roman"/>
                <w:kern w:val="0"/>
                <w:sz w:val="28"/>
                <w:szCs w:val="28"/>
              </w:rPr>
              <w:t>，大学学报（社科类）</w:t>
            </w:r>
            <w:r>
              <w:rPr>
                <w:rFonts w:ascii="Times New Roman" w:hAnsi="Times New Roman" w:eastAsia="仿宋_GB2312" w:cs="Times New Roman"/>
                <w:kern w:val="0"/>
                <w:sz w:val="28"/>
                <w:szCs w:val="28"/>
              </w:rPr>
              <w:t>。</w:t>
            </w:r>
          </w:p>
        </w:tc>
        <w:tc>
          <w:tcPr>
            <w:tcW w:w="374"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8"/>
                <w:szCs w:val="28"/>
              </w:rPr>
              <w:t>5</w:t>
            </w:r>
          </w:p>
        </w:tc>
        <w:tc>
          <w:tcPr>
            <w:tcW w:w="2105" w:type="pct"/>
            <w:vMerge w:val="continue"/>
            <w:vAlign w:val="center"/>
          </w:tcPr>
          <w:p>
            <w:pPr>
              <w:snapToGrid w:val="0"/>
              <w:spacing w:line="360" w:lineRule="exact"/>
              <w:jc w:val="center"/>
              <w:rPr>
                <w:rFonts w:ascii="Times New Roman" w:hAnsi="Times New Roman" w:eastAsia="仿宋_GB2312" w:cs="Times New Roman"/>
                <w:sz w:val="28"/>
                <w:szCs w:val="28"/>
              </w:rPr>
            </w:pPr>
          </w:p>
        </w:tc>
      </w:tr>
    </w:tbl>
    <w:p>
      <w:pPr>
        <w:snapToGrid w:val="0"/>
        <w:spacing w:line="400" w:lineRule="exact"/>
        <w:jc w:val="center"/>
        <w:rPr>
          <w:rFonts w:ascii="黑体" w:hAnsi="黑体" w:eastAsia="黑体" w:cs="仿宋_GB2312"/>
          <w:sz w:val="32"/>
          <w:szCs w:val="32"/>
        </w:rPr>
      </w:pPr>
      <w:bookmarkStart w:id="7" w:name="_Hlk71580090"/>
    </w:p>
    <w:p>
      <w:pPr>
        <w:snapToGrid w:val="0"/>
        <w:spacing w:line="400" w:lineRule="exact"/>
        <w:jc w:val="center"/>
        <w:rPr>
          <w:rFonts w:ascii="黑体" w:hAnsi="黑体" w:eastAsia="黑体" w:cs="仿宋_GB2312"/>
          <w:sz w:val="32"/>
          <w:szCs w:val="32"/>
        </w:rPr>
      </w:pPr>
    </w:p>
    <w:p>
      <w:pPr>
        <w:jc w:val="left"/>
        <w:rPr>
          <w:rFonts w:ascii="黑体" w:hAnsi="黑体" w:eastAsia="黑体" w:cs="仿宋_GB2312"/>
          <w:sz w:val="32"/>
          <w:szCs w:val="32"/>
        </w:rPr>
      </w:pPr>
      <w:r>
        <w:rPr>
          <w:rFonts w:hint="eastAsia" w:ascii="黑体" w:hAnsi="黑体" w:eastAsia="黑体" w:cs="仿宋_GB2312"/>
          <w:sz w:val="32"/>
          <w:szCs w:val="32"/>
        </w:rPr>
        <w:br w:type="page"/>
      </w:r>
    </w:p>
    <w:p>
      <w:pPr>
        <w:snapToGrid w:val="0"/>
        <w:spacing w:line="400" w:lineRule="exact"/>
        <w:jc w:val="center"/>
        <w:rPr>
          <w:rFonts w:ascii="Calibri" w:hAnsi="Calibri" w:eastAsia="宋体" w:cs="Times New Roman"/>
          <w:sz w:val="32"/>
          <w:szCs w:val="32"/>
        </w:rPr>
      </w:pPr>
      <w:r>
        <w:rPr>
          <w:rFonts w:hint="eastAsia" w:ascii="黑体" w:hAnsi="黑体" w:eastAsia="黑体" w:cs="仿宋_GB2312"/>
          <w:sz w:val="32"/>
          <w:szCs w:val="32"/>
        </w:rPr>
        <w:t>表</w:t>
      </w:r>
      <w:r>
        <w:rPr>
          <w:rFonts w:ascii="黑体" w:hAnsi="黑体" w:eastAsia="黑体" w:cs="仿宋_GB2312"/>
          <w:sz w:val="32"/>
          <w:szCs w:val="32"/>
        </w:rPr>
        <w:t>3</w:t>
      </w:r>
      <w:r>
        <w:rPr>
          <w:rFonts w:hint="eastAsia" w:ascii="黑体" w:hAnsi="黑体" w:eastAsia="黑体" w:cs="仿宋_GB2312"/>
          <w:sz w:val="32"/>
          <w:szCs w:val="32"/>
        </w:rPr>
        <w:t>安徽工程大学其他科研成果业绩分值标准</w:t>
      </w:r>
    </w:p>
    <w:bookmarkEnd w:id="7"/>
    <w:tbl>
      <w:tblPr>
        <w:tblStyle w:val="4"/>
        <w:tblW w:w="50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9"/>
        <w:gridCol w:w="1597"/>
        <w:gridCol w:w="2131"/>
        <w:gridCol w:w="1936"/>
        <w:gridCol w:w="1105"/>
        <w:gridCol w:w="6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66" w:type="pct"/>
            <w:vAlign w:val="center"/>
          </w:tcPr>
          <w:p>
            <w:pPr>
              <w:snapToGrid w:val="0"/>
              <w:spacing w:line="360" w:lineRule="exact"/>
              <w:jc w:val="center"/>
              <w:rPr>
                <w:rFonts w:ascii="Times New Roman" w:hAnsi="Times New Roman" w:eastAsia="仿宋_GB2312" w:cs="Times New Roman"/>
                <w:b/>
                <w:sz w:val="28"/>
                <w:szCs w:val="28"/>
              </w:rPr>
            </w:pPr>
            <w:r>
              <w:rPr>
                <w:rFonts w:ascii="Times New Roman" w:hAnsi="Times New Roman" w:eastAsia="仿宋_GB2312" w:cs="Times New Roman"/>
                <w:b/>
                <w:sz w:val="28"/>
                <w:szCs w:val="28"/>
              </w:rPr>
              <w:t>序号</w:t>
            </w:r>
          </w:p>
        </w:tc>
        <w:tc>
          <w:tcPr>
            <w:tcW w:w="532" w:type="pct"/>
            <w:vAlign w:val="center"/>
          </w:tcPr>
          <w:p>
            <w:pPr>
              <w:snapToGrid w:val="0"/>
              <w:spacing w:line="360" w:lineRule="exact"/>
              <w:jc w:val="center"/>
              <w:rPr>
                <w:rFonts w:ascii="Times New Roman" w:hAnsi="Times New Roman" w:eastAsia="仿宋_GB2312" w:cs="Times New Roman"/>
                <w:b/>
                <w:sz w:val="28"/>
                <w:szCs w:val="28"/>
              </w:rPr>
            </w:pPr>
            <w:r>
              <w:rPr>
                <w:rFonts w:ascii="Times New Roman" w:hAnsi="Times New Roman" w:eastAsia="仿宋_GB2312" w:cs="Times New Roman"/>
                <w:b/>
                <w:sz w:val="28"/>
                <w:szCs w:val="28"/>
              </w:rPr>
              <w:t>项目</w:t>
            </w:r>
          </w:p>
        </w:tc>
        <w:tc>
          <w:tcPr>
            <w:tcW w:w="1355" w:type="pct"/>
            <w:gridSpan w:val="2"/>
            <w:vAlign w:val="center"/>
          </w:tcPr>
          <w:p>
            <w:pPr>
              <w:snapToGrid w:val="0"/>
              <w:spacing w:line="360" w:lineRule="exact"/>
              <w:jc w:val="center"/>
              <w:rPr>
                <w:rFonts w:ascii="Times New Roman" w:hAnsi="Times New Roman" w:eastAsia="仿宋_GB2312" w:cs="Times New Roman"/>
                <w:b/>
                <w:sz w:val="28"/>
                <w:szCs w:val="28"/>
              </w:rPr>
            </w:pPr>
            <w:r>
              <w:rPr>
                <w:rFonts w:ascii="Times New Roman" w:hAnsi="Times New Roman" w:eastAsia="仿宋_GB2312" w:cs="Times New Roman"/>
                <w:b/>
                <w:sz w:val="28"/>
                <w:szCs w:val="28"/>
              </w:rPr>
              <w:t>等级</w:t>
            </w:r>
          </w:p>
        </w:tc>
        <w:tc>
          <w:tcPr>
            <w:tcW w:w="368" w:type="pct"/>
            <w:vAlign w:val="center"/>
          </w:tcPr>
          <w:p>
            <w:pPr>
              <w:snapToGrid w:val="0"/>
              <w:spacing w:line="360" w:lineRule="exact"/>
              <w:jc w:val="center"/>
              <w:rPr>
                <w:rFonts w:ascii="Times New Roman" w:hAnsi="Times New Roman" w:eastAsia="仿宋_GB2312" w:cs="Times New Roman"/>
                <w:b/>
                <w:sz w:val="28"/>
                <w:szCs w:val="28"/>
              </w:rPr>
            </w:pPr>
            <w:r>
              <w:rPr>
                <w:rFonts w:hint="eastAsia" w:ascii="Times New Roman" w:hAnsi="Times New Roman" w:eastAsia="仿宋_GB2312" w:cs="Times New Roman"/>
                <w:b/>
                <w:sz w:val="28"/>
                <w:szCs w:val="28"/>
              </w:rPr>
              <w:t>分值</w:t>
            </w:r>
          </w:p>
        </w:tc>
        <w:tc>
          <w:tcPr>
            <w:tcW w:w="2279" w:type="pct"/>
            <w:vAlign w:val="center"/>
          </w:tcPr>
          <w:p>
            <w:pPr>
              <w:snapToGrid w:val="0"/>
              <w:spacing w:line="360" w:lineRule="exact"/>
              <w:jc w:val="center"/>
              <w:rPr>
                <w:rFonts w:ascii="Times New Roman" w:hAnsi="Times New Roman" w:eastAsia="仿宋_GB2312" w:cs="Times New Roman"/>
                <w:b/>
                <w:sz w:val="28"/>
                <w:szCs w:val="28"/>
              </w:rPr>
            </w:pPr>
            <w:r>
              <w:rPr>
                <w:rFonts w:ascii="Times New Roman" w:hAnsi="Times New Roman" w:eastAsia="仿宋_GB2312" w:cs="Times New Roman"/>
                <w:b/>
                <w:sz w:val="28"/>
                <w:szCs w:val="28"/>
              </w:rPr>
              <w:t>认定说明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466" w:type="pct"/>
            <w:vMerge w:val="restart"/>
            <w:vAlign w:val="center"/>
          </w:tcPr>
          <w:p>
            <w:pPr>
              <w:snapToGrid w:val="0"/>
              <w:spacing w:line="36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1</w:t>
            </w:r>
          </w:p>
        </w:tc>
        <w:tc>
          <w:tcPr>
            <w:tcW w:w="532" w:type="pct"/>
            <w:vMerge w:val="restart"/>
            <w:vAlign w:val="center"/>
          </w:tcPr>
          <w:p>
            <w:pPr>
              <w:snapToGrid w:val="0"/>
              <w:spacing w:line="360" w:lineRule="exact"/>
              <w:jc w:val="center"/>
              <w:rPr>
                <w:rFonts w:ascii="Times New Roman" w:hAnsi="Times New Roman" w:eastAsia="仿宋_GB2312" w:cs="Times New Roman"/>
                <w:sz w:val="28"/>
                <w:szCs w:val="28"/>
              </w:rPr>
            </w:pPr>
            <w:r>
              <w:rPr>
                <w:rFonts w:hint="eastAsia" w:ascii="Times New Roman" w:hAnsi="Times New Roman" w:eastAsia="仿宋_GB2312" w:cs="Times New Roman"/>
                <w:b/>
                <w:bCs/>
                <w:sz w:val="28"/>
                <w:szCs w:val="28"/>
              </w:rPr>
              <w:t>横向项目及</w:t>
            </w:r>
            <w:r>
              <w:rPr>
                <w:rFonts w:ascii="Times New Roman" w:hAnsi="Times New Roman" w:eastAsia="仿宋_GB2312" w:cs="Times New Roman"/>
                <w:b/>
                <w:bCs/>
                <w:sz w:val="28"/>
                <w:szCs w:val="28"/>
              </w:rPr>
              <w:t>科技成果转化</w:t>
            </w:r>
          </w:p>
        </w:tc>
        <w:tc>
          <w:tcPr>
            <w:tcW w:w="1355" w:type="pct"/>
            <w:gridSpan w:val="2"/>
            <w:vAlign w:val="center"/>
          </w:tcPr>
          <w:p>
            <w:pPr>
              <w:autoSpaceDE w:val="0"/>
              <w:autoSpaceDN w:val="0"/>
              <w:adjustRightInd w:val="0"/>
              <w:spacing w:line="360" w:lineRule="exact"/>
              <w:rPr>
                <w:rFonts w:ascii="Times New Roman" w:hAnsi="Times New Roman" w:eastAsia="仿宋_GB2312" w:cs="Times New Roman"/>
                <w:kern w:val="0"/>
                <w:sz w:val="28"/>
                <w:szCs w:val="28"/>
              </w:rPr>
            </w:pPr>
            <w:r>
              <w:rPr>
                <w:rFonts w:hint="eastAsia" w:ascii="仿宋_GB2312" w:hAnsi="宋体" w:eastAsia="仿宋_GB2312" w:cs="宋体"/>
                <w:kern w:val="0"/>
                <w:sz w:val="28"/>
                <w:szCs w:val="28"/>
              </w:rPr>
              <w:t>单项到校经费达到1万及以上</w:t>
            </w:r>
          </w:p>
        </w:tc>
        <w:tc>
          <w:tcPr>
            <w:tcW w:w="368" w:type="pct"/>
            <w:vAlign w:val="center"/>
          </w:tcPr>
          <w:p>
            <w:pPr>
              <w:snapToGrid w:val="0"/>
              <w:spacing w:line="360" w:lineRule="exact"/>
              <w:jc w:val="center"/>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3</w:t>
            </w:r>
          </w:p>
        </w:tc>
        <w:tc>
          <w:tcPr>
            <w:tcW w:w="2279" w:type="pct"/>
            <w:vMerge w:val="restart"/>
            <w:vAlign w:val="center"/>
          </w:tcPr>
          <w:p>
            <w:pPr>
              <w:snapToGrid w:val="0"/>
              <w:spacing w:line="360" w:lineRule="exact"/>
              <w:jc w:val="left"/>
              <w:rPr>
                <w:rFonts w:ascii="Times New Roman" w:hAnsi="Times New Roman" w:eastAsia="仿宋_GB2312" w:cs="Times New Roman"/>
                <w:sz w:val="28"/>
                <w:szCs w:val="28"/>
              </w:rPr>
            </w:pPr>
            <w:r>
              <w:rPr>
                <w:rFonts w:ascii="Times New Roman" w:hAnsi="Times New Roman" w:eastAsia="仿宋_GB2312" w:cs="Times New Roman"/>
                <w:sz w:val="28"/>
                <w:szCs w:val="28"/>
              </w:rPr>
              <w:t>（1）指导学生完成的，</w:t>
            </w:r>
            <w:r>
              <w:rPr>
                <w:rFonts w:hint="eastAsia" w:ascii="Times New Roman" w:hAnsi="Times New Roman" w:eastAsia="仿宋_GB2312" w:cs="Times New Roman"/>
                <w:sz w:val="28"/>
                <w:szCs w:val="28"/>
              </w:rPr>
              <w:t>分值</w:t>
            </w:r>
            <w:r>
              <w:rPr>
                <w:rFonts w:ascii="Times New Roman" w:hAnsi="Times New Roman" w:eastAsia="仿宋_GB2312" w:cs="Times New Roman"/>
                <w:sz w:val="28"/>
                <w:szCs w:val="28"/>
              </w:rPr>
              <w:t>计入指导教师。</w:t>
            </w:r>
          </w:p>
          <w:p>
            <w:pPr>
              <w:snapToGrid w:val="0"/>
              <w:spacing w:line="360" w:lineRule="exact"/>
              <w:jc w:val="left"/>
              <w:rPr>
                <w:rFonts w:ascii="Times New Roman" w:hAnsi="Times New Roman" w:eastAsia="仿宋_GB2312" w:cs="Times New Roman"/>
                <w:sz w:val="28"/>
                <w:szCs w:val="28"/>
              </w:rPr>
            </w:pPr>
            <w:r>
              <w:rPr>
                <w:rFonts w:ascii="Times New Roman" w:hAnsi="Times New Roman" w:eastAsia="仿宋_GB2312" w:cs="Times New Roman"/>
                <w:sz w:val="28"/>
                <w:szCs w:val="28"/>
              </w:rPr>
              <w:t>（2）</w:t>
            </w:r>
            <w:r>
              <w:rPr>
                <w:rFonts w:hint="eastAsia" w:ascii="仿宋_GB2312" w:hAnsi="宋体" w:eastAsia="仿宋_GB2312" w:cs="宋体"/>
                <w:kern w:val="0"/>
                <w:sz w:val="28"/>
                <w:szCs w:val="28"/>
              </w:rPr>
              <w:t>单项到校经费</w:t>
            </w:r>
            <w:r>
              <w:rPr>
                <w:rFonts w:ascii="Times New Roman" w:hAnsi="Times New Roman" w:eastAsia="仿宋_GB2312" w:cs="Times New Roman"/>
                <w:sz w:val="28"/>
                <w:szCs w:val="28"/>
              </w:rPr>
              <w:t>1万</w:t>
            </w:r>
            <w:r>
              <w:rPr>
                <w:rFonts w:hint="eastAsia" w:ascii="Times New Roman" w:hAnsi="Times New Roman" w:eastAsia="仿宋_GB2312" w:cs="Times New Roman"/>
                <w:sz w:val="28"/>
                <w:szCs w:val="28"/>
              </w:rPr>
              <w:t>及</w:t>
            </w:r>
            <w:r>
              <w:rPr>
                <w:rFonts w:ascii="Times New Roman" w:hAnsi="Times New Roman" w:eastAsia="仿宋_GB2312" w:cs="Times New Roman"/>
                <w:sz w:val="28"/>
                <w:szCs w:val="28"/>
              </w:rPr>
              <w:t>以下，不计</w:t>
            </w:r>
            <w:r>
              <w:rPr>
                <w:rFonts w:hint="eastAsia" w:ascii="Times New Roman" w:hAnsi="Times New Roman" w:eastAsia="仿宋_GB2312" w:cs="Times New Roman"/>
                <w:sz w:val="28"/>
                <w:szCs w:val="28"/>
              </w:rPr>
              <w:t>分值</w:t>
            </w:r>
            <w:r>
              <w:rPr>
                <w:rFonts w:ascii="Times New Roman" w:hAnsi="Times New Roman" w:eastAsia="仿宋_GB2312" w:cs="Times New Roman"/>
                <w:sz w:val="28"/>
                <w:szCs w:val="28"/>
              </w:rPr>
              <w:t>。</w:t>
            </w:r>
          </w:p>
          <w:p>
            <w:pPr>
              <w:snapToGrid w:val="0"/>
              <w:spacing w:line="360" w:lineRule="exact"/>
              <w:jc w:val="left"/>
              <w:rPr>
                <w:rFonts w:ascii="Times New Roman" w:hAnsi="Times New Roman" w:eastAsia="仿宋_GB2312" w:cs="Times New Roman"/>
                <w:sz w:val="28"/>
                <w:szCs w:val="28"/>
              </w:rPr>
            </w:pPr>
            <w:r>
              <w:rPr>
                <w:rFonts w:ascii="Times New Roman" w:hAnsi="Times New Roman" w:eastAsia="仿宋_GB2312" w:cs="Times New Roman"/>
                <w:sz w:val="28"/>
                <w:szCs w:val="28"/>
              </w:rPr>
              <w:t>（3）</w:t>
            </w:r>
            <w:r>
              <w:rPr>
                <w:rFonts w:hint="eastAsia" w:ascii="Times New Roman" w:hAnsi="Times New Roman" w:eastAsia="仿宋_GB2312" w:cs="Times New Roman"/>
                <w:sz w:val="28"/>
                <w:szCs w:val="28"/>
              </w:rPr>
              <w:t>横向项目及科技成果转化</w:t>
            </w:r>
            <w:r>
              <w:rPr>
                <w:rFonts w:ascii="Times New Roman" w:hAnsi="Times New Roman" w:eastAsia="仿宋_GB2312" w:cs="Times New Roman"/>
                <w:sz w:val="28"/>
                <w:szCs w:val="28"/>
              </w:rPr>
              <w:t>完成</w:t>
            </w:r>
            <w:r>
              <w:rPr>
                <w:rFonts w:hint="eastAsia" w:ascii="Times New Roman" w:hAnsi="Times New Roman" w:eastAsia="仿宋_GB2312" w:cs="Times New Roman"/>
                <w:sz w:val="28"/>
                <w:szCs w:val="28"/>
              </w:rPr>
              <w:t>分值</w:t>
            </w:r>
            <w:r>
              <w:rPr>
                <w:rFonts w:ascii="Times New Roman" w:hAnsi="Times New Roman" w:eastAsia="仿宋_GB2312" w:cs="Times New Roman"/>
                <w:sz w:val="28"/>
                <w:szCs w:val="28"/>
              </w:rPr>
              <w:t>可以由第一完成人按照实际贡献分配。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466"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532"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1355" w:type="pct"/>
            <w:gridSpan w:val="2"/>
            <w:vAlign w:val="center"/>
          </w:tcPr>
          <w:p>
            <w:pPr>
              <w:autoSpaceDE w:val="0"/>
              <w:autoSpaceDN w:val="0"/>
              <w:adjustRightInd w:val="0"/>
              <w:spacing w:line="360" w:lineRule="exact"/>
              <w:rPr>
                <w:rFonts w:ascii="Times New Roman" w:hAnsi="Times New Roman" w:eastAsia="仿宋_GB2312" w:cs="Times New Roman"/>
                <w:kern w:val="0"/>
                <w:sz w:val="28"/>
                <w:szCs w:val="28"/>
              </w:rPr>
            </w:pPr>
            <w:r>
              <w:rPr>
                <w:rFonts w:hint="eastAsia" w:ascii="仿宋_GB2312" w:hAnsi="宋体" w:eastAsia="仿宋_GB2312" w:cs="宋体"/>
                <w:kern w:val="0"/>
                <w:sz w:val="28"/>
                <w:szCs w:val="28"/>
              </w:rPr>
              <w:t>单项到校经费达到5万及以上</w:t>
            </w:r>
          </w:p>
        </w:tc>
        <w:tc>
          <w:tcPr>
            <w:tcW w:w="368" w:type="pct"/>
            <w:vAlign w:val="center"/>
          </w:tcPr>
          <w:p>
            <w:pPr>
              <w:snapToGrid w:val="0"/>
              <w:spacing w:line="36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5</w:t>
            </w:r>
          </w:p>
        </w:tc>
        <w:tc>
          <w:tcPr>
            <w:tcW w:w="2279" w:type="pct"/>
            <w:vMerge w:val="continue"/>
            <w:vAlign w:val="center"/>
          </w:tcPr>
          <w:p>
            <w:pPr>
              <w:snapToGrid w:val="0"/>
              <w:spacing w:line="360" w:lineRule="exact"/>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5" w:hRule="atLeast"/>
          <w:jc w:val="center"/>
        </w:trPr>
        <w:tc>
          <w:tcPr>
            <w:tcW w:w="466" w:type="pct"/>
            <w:vMerge w:val="restart"/>
            <w:vAlign w:val="center"/>
          </w:tcPr>
          <w:p>
            <w:pPr>
              <w:snapToGrid w:val="0"/>
              <w:spacing w:line="360" w:lineRule="exact"/>
              <w:jc w:val="center"/>
              <w:rPr>
                <w:rFonts w:ascii="Times New Roman" w:hAnsi="Times New Roman" w:eastAsia="仿宋_GB2312" w:cs="Times New Roman"/>
                <w:b/>
                <w:sz w:val="28"/>
                <w:szCs w:val="28"/>
              </w:rPr>
            </w:pPr>
            <w:r>
              <w:rPr>
                <w:rFonts w:ascii="Times New Roman" w:hAnsi="Times New Roman" w:eastAsia="仿宋_GB2312" w:cs="Times New Roman"/>
                <w:b/>
                <w:sz w:val="28"/>
                <w:szCs w:val="28"/>
              </w:rPr>
              <w:t>2</w:t>
            </w:r>
          </w:p>
        </w:tc>
        <w:tc>
          <w:tcPr>
            <w:tcW w:w="532" w:type="pct"/>
            <w:vMerge w:val="restart"/>
            <w:vAlign w:val="center"/>
          </w:tcPr>
          <w:p>
            <w:pPr>
              <w:snapToGrid w:val="0"/>
              <w:spacing w:line="360" w:lineRule="exact"/>
              <w:jc w:val="center"/>
              <w:rPr>
                <w:rFonts w:ascii="Times New Roman" w:hAnsi="Times New Roman" w:eastAsia="仿宋_GB2312" w:cs="Times New Roman"/>
                <w:b/>
                <w:sz w:val="28"/>
                <w:szCs w:val="28"/>
              </w:rPr>
            </w:pPr>
            <w:r>
              <w:rPr>
                <w:rFonts w:ascii="Times New Roman" w:hAnsi="Times New Roman" w:eastAsia="仿宋_GB2312" w:cs="Times New Roman"/>
                <w:b/>
                <w:sz w:val="28"/>
                <w:szCs w:val="28"/>
              </w:rPr>
              <w:t>出版著作、标准</w:t>
            </w:r>
          </w:p>
        </w:tc>
        <w:tc>
          <w:tcPr>
            <w:tcW w:w="1355" w:type="pct"/>
            <w:gridSpan w:val="2"/>
            <w:vAlign w:val="center"/>
          </w:tcPr>
          <w:p>
            <w:pPr>
              <w:autoSpaceDE w:val="0"/>
              <w:autoSpaceDN w:val="0"/>
              <w:adjustRightInd w:val="0"/>
              <w:spacing w:line="36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w:t>
            </w:r>
            <w:r>
              <w:rPr>
                <w:rFonts w:hint="eastAsia" w:ascii="Times New Roman" w:hAnsi="Times New Roman" w:eastAsia="仿宋_GB2312" w:cs="Times New Roman"/>
                <w:kern w:val="0"/>
                <w:sz w:val="28"/>
                <w:szCs w:val="28"/>
              </w:rPr>
              <w:t>级</w:t>
            </w:r>
            <w:r>
              <w:rPr>
                <w:rFonts w:ascii="Times New Roman" w:hAnsi="Times New Roman" w:eastAsia="仿宋_GB2312" w:cs="Times New Roman"/>
                <w:kern w:val="0"/>
                <w:sz w:val="28"/>
                <w:szCs w:val="28"/>
              </w:rPr>
              <w:t>：国家出版基金资助的学术著作、国家级标准。</w:t>
            </w:r>
          </w:p>
        </w:tc>
        <w:tc>
          <w:tcPr>
            <w:tcW w:w="368" w:type="pct"/>
            <w:vAlign w:val="center"/>
          </w:tcPr>
          <w:p>
            <w:pPr>
              <w:snapToGrid w:val="0"/>
              <w:spacing w:line="36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70</w:t>
            </w:r>
          </w:p>
        </w:tc>
        <w:tc>
          <w:tcPr>
            <w:tcW w:w="2279" w:type="pct"/>
            <w:vMerge w:val="restart"/>
            <w:vAlign w:val="center"/>
          </w:tcPr>
          <w:p>
            <w:pPr>
              <w:autoSpaceDE w:val="0"/>
              <w:autoSpaceDN w:val="0"/>
              <w:adjustRightInd w:val="0"/>
              <w:spacing w:line="360" w:lineRule="exact"/>
              <w:jc w:val="lef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（1）著作认定以著者署名后标有“著”字样为准，且有8级以上期刊论文支撑；合著排名第二、第三及以下分别按照各类著作</w:t>
            </w:r>
            <w:r>
              <w:rPr>
                <w:rFonts w:hint="eastAsia" w:ascii="Times New Roman" w:hAnsi="Times New Roman" w:eastAsia="仿宋_GB2312" w:cs="Times New Roman"/>
                <w:kern w:val="0"/>
                <w:sz w:val="28"/>
                <w:szCs w:val="28"/>
              </w:rPr>
              <w:t>分值</w:t>
            </w:r>
            <w:r>
              <w:rPr>
                <w:rFonts w:ascii="Times New Roman" w:hAnsi="Times New Roman" w:eastAsia="仿宋_GB2312" w:cs="Times New Roman"/>
                <w:kern w:val="0"/>
                <w:sz w:val="28"/>
                <w:szCs w:val="28"/>
              </w:rPr>
              <w:t>的30%、10%计算，译著按照相应级别出版社出版的学术著作</w:t>
            </w:r>
            <w:r>
              <w:rPr>
                <w:rFonts w:hint="eastAsia" w:ascii="Times New Roman" w:hAnsi="Times New Roman" w:eastAsia="仿宋_GB2312" w:cs="Times New Roman"/>
                <w:kern w:val="0"/>
                <w:sz w:val="28"/>
                <w:szCs w:val="28"/>
              </w:rPr>
              <w:t>分值</w:t>
            </w:r>
            <w:r>
              <w:rPr>
                <w:rFonts w:ascii="Times New Roman" w:hAnsi="Times New Roman" w:eastAsia="仿宋_GB2312" w:cs="Times New Roman"/>
                <w:kern w:val="0"/>
                <w:sz w:val="28"/>
                <w:szCs w:val="28"/>
              </w:rPr>
              <w:t>50%计算。</w:t>
            </w:r>
          </w:p>
          <w:p>
            <w:pPr>
              <w:autoSpaceDE w:val="0"/>
              <w:autoSpaceDN w:val="0"/>
              <w:adjustRightInd w:val="0"/>
              <w:spacing w:line="36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（2）“标准”包括标准、规范、规程、工法、导则、图集等；多单位合作主编的，我校为第一至第三主编单位的，分别按100%、80%、60%进行</w:t>
            </w:r>
            <w:r>
              <w:rPr>
                <w:rFonts w:hint="eastAsia" w:ascii="Times New Roman" w:hAnsi="Times New Roman" w:eastAsia="仿宋_GB2312" w:cs="Times New Roman"/>
                <w:kern w:val="0"/>
                <w:sz w:val="28"/>
                <w:szCs w:val="28"/>
              </w:rPr>
              <w:t>分值</w:t>
            </w:r>
            <w:r>
              <w:rPr>
                <w:rFonts w:ascii="Times New Roman" w:hAnsi="Times New Roman" w:eastAsia="仿宋_GB2312" w:cs="Times New Roman"/>
                <w:kern w:val="0"/>
                <w:sz w:val="28"/>
                <w:szCs w:val="28"/>
              </w:rPr>
              <w:t>计算，其余按40%计算，参编标准按25%计算。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7" w:hRule="atLeast"/>
          <w:jc w:val="center"/>
        </w:trPr>
        <w:tc>
          <w:tcPr>
            <w:tcW w:w="466" w:type="pct"/>
            <w:vMerge w:val="continue"/>
            <w:vAlign w:val="center"/>
          </w:tcPr>
          <w:p>
            <w:pPr>
              <w:snapToGrid w:val="0"/>
              <w:spacing w:line="360" w:lineRule="exact"/>
              <w:jc w:val="center"/>
              <w:rPr>
                <w:rFonts w:ascii="Times New Roman" w:hAnsi="Times New Roman" w:eastAsia="仿宋_GB2312" w:cs="Times New Roman"/>
                <w:b/>
                <w:sz w:val="28"/>
                <w:szCs w:val="28"/>
              </w:rPr>
            </w:pPr>
          </w:p>
        </w:tc>
        <w:tc>
          <w:tcPr>
            <w:tcW w:w="532" w:type="pct"/>
            <w:vMerge w:val="continue"/>
            <w:vAlign w:val="center"/>
          </w:tcPr>
          <w:p>
            <w:pPr>
              <w:spacing w:line="360" w:lineRule="exact"/>
              <w:rPr>
                <w:rFonts w:ascii="Times New Roman" w:hAnsi="Times New Roman" w:eastAsia="仿宋_GB2312" w:cs="Times New Roman"/>
                <w:b/>
                <w:sz w:val="28"/>
                <w:szCs w:val="28"/>
              </w:rPr>
            </w:pPr>
          </w:p>
        </w:tc>
        <w:tc>
          <w:tcPr>
            <w:tcW w:w="1355" w:type="pct"/>
            <w:gridSpan w:val="2"/>
            <w:vAlign w:val="center"/>
          </w:tcPr>
          <w:p>
            <w:pPr>
              <w:snapToGrid w:val="0"/>
              <w:spacing w:line="36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2</w:t>
            </w:r>
            <w:r>
              <w:rPr>
                <w:rFonts w:hint="eastAsia" w:ascii="Times New Roman" w:hAnsi="Times New Roman" w:eastAsia="仿宋_GB2312" w:cs="Times New Roman"/>
                <w:sz w:val="28"/>
                <w:szCs w:val="28"/>
              </w:rPr>
              <w:t>级</w:t>
            </w:r>
            <w:r>
              <w:rPr>
                <w:rFonts w:ascii="Times New Roman" w:hAnsi="Times New Roman" w:eastAsia="仿宋_GB2312" w:cs="Times New Roman"/>
                <w:sz w:val="28"/>
                <w:szCs w:val="28"/>
              </w:rPr>
              <w:t>：国家级出版社出版的学术著作、省部级、行业标准。</w:t>
            </w:r>
          </w:p>
        </w:tc>
        <w:tc>
          <w:tcPr>
            <w:tcW w:w="368" w:type="pct"/>
            <w:vAlign w:val="center"/>
          </w:tcPr>
          <w:p>
            <w:pPr>
              <w:snapToGrid w:val="0"/>
              <w:spacing w:line="360" w:lineRule="exact"/>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30</w:t>
            </w:r>
          </w:p>
        </w:tc>
        <w:tc>
          <w:tcPr>
            <w:tcW w:w="2279" w:type="pct"/>
            <w:vMerge w:val="continue"/>
            <w:vAlign w:val="center"/>
          </w:tcPr>
          <w:p>
            <w:pPr>
              <w:snapToGrid w:val="0"/>
              <w:spacing w:line="360" w:lineRule="exact"/>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66" w:type="pct"/>
            <w:vAlign w:val="center"/>
          </w:tcPr>
          <w:p>
            <w:pPr>
              <w:snapToGrid w:val="0"/>
              <w:spacing w:line="360" w:lineRule="exact"/>
              <w:jc w:val="center"/>
              <w:rPr>
                <w:rFonts w:ascii="Times New Roman" w:hAnsi="Times New Roman" w:eastAsia="仿宋_GB2312" w:cs="Times New Roman"/>
                <w:b/>
                <w:sz w:val="28"/>
                <w:szCs w:val="28"/>
              </w:rPr>
            </w:pPr>
            <w:r>
              <w:rPr>
                <w:rFonts w:ascii="Times New Roman" w:hAnsi="Times New Roman" w:eastAsia="仿宋_GB2312" w:cs="Times New Roman"/>
                <w:b/>
                <w:sz w:val="28"/>
                <w:szCs w:val="28"/>
              </w:rPr>
              <w:t>3</w:t>
            </w:r>
          </w:p>
        </w:tc>
        <w:tc>
          <w:tcPr>
            <w:tcW w:w="532" w:type="pct"/>
            <w:vAlign w:val="center"/>
          </w:tcPr>
          <w:p>
            <w:pPr>
              <w:snapToGrid w:val="0"/>
              <w:spacing w:line="360" w:lineRule="exact"/>
              <w:jc w:val="center"/>
              <w:rPr>
                <w:rFonts w:ascii="Times New Roman" w:hAnsi="Times New Roman" w:eastAsia="仿宋_GB2312" w:cs="Times New Roman"/>
                <w:b/>
                <w:sz w:val="28"/>
                <w:szCs w:val="28"/>
              </w:rPr>
            </w:pPr>
            <w:r>
              <w:rPr>
                <w:rFonts w:ascii="Times New Roman" w:hAnsi="Times New Roman" w:eastAsia="仿宋_GB2312" w:cs="Times New Roman"/>
                <w:b/>
                <w:sz w:val="28"/>
                <w:szCs w:val="28"/>
              </w:rPr>
              <w:t>专利授权</w:t>
            </w:r>
          </w:p>
        </w:tc>
        <w:tc>
          <w:tcPr>
            <w:tcW w:w="1355" w:type="pct"/>
            <w:gridSpan w:val="2"/>
            <w:vAlign w:val="center"/>
          </w:tcPr>
          <w:p>
            <w:pPr>
              <w:autoSpaceDE w:val="0"/>
              <w:autoSpaceDN w:val="0"/>
              <w:adjustRightInd w:val="0"/>
              <w:spacing w:line="36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发明专利</w:t>
            </w:r>
          </w:p>
        </w:tc>
        <w:tc>
          <w:tcPr>
            <w:tcW w:w="368" w:type="pct"/>
            <w:vAlign w:val="center"/>
          </w:tcPr>
          <w:p>
            <w:pPr>
              <w:snapToGrid w:val="0"/>
              <w:spacing w:line="360" w:lineRule="exact"/>
              <w:jc w:val="center"/>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5</w:t>
            </w:r>
          </w:p>
        </w:tc>
        <w:tc>
          <w:tcPr>
            <w:tcW w:w="2279" w:type="pct"/>
            <w:vAlign w:val="center"/>
          </w:tcPr>
          <w:p>
            <w:pPr>
              <w:autoSpaceDE w:val="0"/>
              <w:autoSpaceDN w:val="0"/>
              <w:adjustRightInd w:val="0"/>
              <w:spacing w:line="36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第一专利权人和第一发明人单位均为安徽</w:t>
            </w:r>
            <w:r>
              <w:rPr>
                <w:rFonts w:hint="eastAsia" w:ascii="Times New Roman" w:hAnsi="Times New Roman" w:eastAsia="仿宋_GB2312" w:cs="Times New Roman"/>
                <w:kern w:val="0"/>
                <w:sz w:val="28"/>
                <w:szCs w:val="28"/>
              </w:rPr>
              <w:t>工程</w:t>
            </w:r>
            <w:r>
              <w:rPr>
                <w:rFonts w:ascii="Times New Roman" w:hAnsi="Times New Roman" w:eastAsia="仿宋_GB2312" w:cs="Times New Roman"/>
                <w:kern w:val="0"/>
                <w:sz w:val="28"/>
                <w:szCs w:val="28"/>
              </w:rPr>
              <w:t>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6" w:type="pct"/>
            <w:vMerge w:val="restart"/>
            <w:vAlign w:val="center"/>
          </w:tcPr>
          <w:p>
            <w:pPr>
              <w:snapToGrid w:val="0"/>
              <w:spacing w:line="360" w:lineRule="exact"/>
              <w:jc w:val="center"/>
              <w:rPr>
                <w:rFonts w:ascii="Times New Roman" w:hAnsi="Times New Roman" w:eastAsia="仿宋_GB2312" w:cs="Times New Roman"/>
                <w:b/>
                <w:sz w:val="28"/>
                <w:szCs w:val="28"/>
              </w:rPr>
            </w:pPr>
            <w:r>
              <w:rPr>
                <w:rFonts w:ascii="Times New Roman" w:hAnsi="Times New Roman" w:eastAsia="仿宋_GB2312" w:cs="Times New Roman"/>
                <w:b/>
                <w:sz w:val="28"/>
                <w:szCs w:val="28"/>
              </w:rPr>
              <w:t>4</w:t>
            </w:r>
          </w:p>
        </w:tc>
        <w:tc>
          <w:tcPr>
            <w:tcW w:w="532" w:type="pct"/>
            <w:vMerge w:val="restart"/>
            <w:vAlign w:val="center"/>
          </w:tcPr>
          <w:p>
            <w:pPr>
              <w:snapToGrid w:val="0"/>
              <w:spacing w:line="360" w:lineRule="exact"/>
              <w:jc w:val="center"/>
              <w:rPr>
                <w:rFonts w:ascii="Times New Roman" w:hAnsi="Times New Roman" w:eastAsia="仿宋_GB2312" w:cs="Times New Roman"/>
                <w:b/>
                <w:sz w:val="28"/>
                <w:szCs w:val="28"/>
              </w:rPr>
            </w:pPr>
            <w:r>
              <w:rPr>
                <w:rFonts w:ascii="Times New Roman" w:hAnsi="Times New Roman" w:eastAsia="仿宋_GB2312" w:cs="Times New Roman"/>
                <w:b/>
                <w:sz w:val="28"/>
                <w:szCs w:val="28"/>
              </w:rPr>
              <w:t>科研奖励</w:t>
            </w:r>
          </w:p>
        </w:tc>
        <w:tc>
          <w:tcPr>
            <w:tcW w:w="710" w:type="pct"/>
            <w:vMerge w:val="restart"/>
            <w:vAlign w:val="center"/>
          </w:tcPr>
          <w:p>
            <w:pPr>
              <w:autoSpaceDE w:val="0"/>
              <w:autoSpaceDN w:val="0"/>
              <w:adjustRightInd w:val="0"/>
              <w:spacing w:line="36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w:t>
            </w:r>
            <w:r>
              <w:rPr>
                <w:rFonts w:hint="eastAsia" w:ascii="Times New Roman" w:hAnsi="Times New Roman" w:eastAsia="仿宋_GB2312" w:cs="Times New Roman"/>
                <w:kern w:val="0"/>
                <w:sz w:val="28"/>
                <w:szCs w:val="28"/>
              </w:rPr>
              <w:t>级</w:t>
            </w:r>
            <w:r>
              <w:rPr>
                <w:rFonts w:ascii="Times New Roman" w:hAnsi="Times New Roman" w:eastAsia="仿宋_GB2312" w:cs="Times New Roman"/>
                <w:kern w:val="0"/>
                <w:sz w:val="28"/>
                <w:szCs w:val="28"/>
              </w:rPr>
              <w:t>：国家级科学技术奖励或社会科学优秀成果奖励一等奖。</w:t>
            </w:r>
          </w:p>
        </w:tc>
        <w:tc>
          <w:tcPr>
            <w:tcW w:w="645"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第一名</w:t>
            </w:r>
          </w:p>
        </w:tc>
        <w:tc>
          <w:tcPr>
            <w:tcW w:w="368"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500</w:t>
            </w:r>
          </w:p>
        </w:tc>
        <w:tc>
          <w:tcPr>
            <w:tcW w:w="2279" w:type="pct"/>
            <w:vMerge w:val="restart"/>
            <w:vAlign w:val="center"/>
          </w:tcPr>
          <w:p>
            <w:pPr>
              <w:numPr>
                <w:ilvl w:val="0"/>
                <w:numId w:val="4"/>
              </w:numPr>
              <w:autoSpaceDE w:val="0"/>
              <w:autoSpaceDN w:val="0"/>
              <w:adjustRightInd w:val="0"/>
              <w:spacing w:line="360" w:lineRule="exact"/>
              <w:jc w:val="lef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国家级科研成果奖励包括国家自然科学奖、国家技术发明奖、国家科技进步奖、国际科学技术合作奖、国家社会科学基金项目优秀成果奖、全国教育科学研究优秀成果奖。</w:t>
            </w:r>
          </w:p>
          <w:p>
            <w:pPr>
              <w:numPr>
                <w:ilvl w:val="255"/>
                <w:numId w:val="0"/>
              </w:numPr>
              <w:autoSpaceDE w:val="0"/>
              <w:autoSpaceDN w:val="0"/>
              <w:adjustRightInd w:val="0"/>
              <w:spacing w:line="360" w:lineRule="exact"/>
              <w:jc w:val="left"/>
              <w:rPr>
                <w:rFonts w:ascii="Times New Roman" w:hAnsi="Times New Roman" w:eastAsia="仿宋_GB2312" w:cs="Times New Roman"/>
                <w:kern w:val="0"/>
                <w:sz w:val="28"/>
                <w:szCs w:val="28"/>
              </w:rPr>
            </w:pPr>
          </w:p>
          <w:p>
            <w:pPr>
              <w:autoSpaceDE w:val="0"/>
              <w:autoSpaceDN w:val="0"/>
              <w:adjustRightInd w:val="0"/>
              <w:spacing w:line="360" w:lineRule="exact"/>
              <w:jc w:val="lef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（2）我校为第二、第三、第四完成单位的，分别按上表中排名奖励</w:t>
            </w:r>
            <w:r>
              <w:rPr>
                <w:rFonts w:hint="eastAsia" w:ascii="Times New Roman" w:hAnsi="Times New Roman" w:eastAsia="仿宋_GB2312" w:cs="Times New Roman"/>
                <w:kern w:val="0"/>
                <w:sz w:val="28"/>
                <w:szCs w:val="28"/>
              </w:rPr>
              <w:t>分值</w:t>
            </w:r>
            <w:r>
              <w:rPr>
                <w:rFonts w:ascii="Times New Roman" w:hAnsi="Times New Roman" w:eastAsia="仿宋_GB2312" w:cs="Times New Roman"/>
                <w:kern w:val="0"/>
                <w:sz w:val="28"/>
                <w:szCs w:val="28"/>
              </w:rPr>
              <w:t>的50%、40%、30%计算，我校为第五及以下完成单位的，按上表中排名奖励</w:t>
            </w:r>
            <w:r>
              <w:rPr>
                <w:rFonts w:hint="eastAsia" w:ascii="Times New Roman" w:hAnsi="Times New Roman" w:eastAsia="仿宋_GB2312" w:cs="Times New Roman"/>
                <w:kern w:val="0"/>
                <w:sz w:val="28"/>
                <w:szCs w:val="28"/>
              </w:rPr>
              <w:t>分值</w:t>
            </w:r>
            <w:r>
              <w:rPr>
                <w:rFonts w:ascii="Times New Roman" w:hAnsi="Times New Roman" w:eastAsia="仿宋_GB2312" w:cs="Times New Roman"/>
                <w:kern w:val="0"/>
                <w:sz w:val="28"/>
                <w:szCs w:val="28"/>
              </w:rPr>
              <w:t>的20%计算。</w:t>
            </w:r>
          </w:p>
          <w:p>
            <w:pPr>
              <w:autoSpaceDE w:val="0"/>
              <w:autoSpaceDN w:val="0"/>
              <w:adjustRightInd w:val="0"/>
              <w:spacing w:line="360" w:lineRule="exact"/>
              <w:jc w:val="lef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（3）由政府公开招标、委托的调研课题或咨询报告获国家级领导人批示的，</w:t>
            </w:r>
            <w:r>
              <w:rPr>
                <w:rFonts w:hint="eastAsia" w:ascii="Times New Roman" w:hAnsi="Times New Roman" w:eastAsia="仿宋_GB2312" w:cs="Times New Roman"/>
                <w:kern w:val="0"/>
                <w:sz w:val="28"/>
                <w:szCs w:val="28"/>
              </w:rPr>
              <w:t>分值</w:t>
            </w:r>
            <w:r>
              <w:rPr>
                <w:rFonts w:ascii="Times New Roman" w:hAnsi="Times New Roman" w:eastAsia="仿宋_GB2312" w:cs="Times New Roman"/>
                <w:kern w:val="0"/>
                <w:sz w:val="28"/>
                <w:szCs w:val="28"/>
              </w:rPr>
              <w:t>按300计算，获省部级主要领导人批示（或省委省政府采纳）的按120计算，获省部级领导批示（或省直厅局采纳）的按40计算。我校为第一单位且个人排名为第一、第二、第三，分别按本类业绩</w:t>
            </w:r>
            <w:r>
              <w:rPr>
                <w:rFonts w:hint="eastAsia" w:ascii="Times New Roman" w:hAnsi="Times New Roman" w:eastAsia="仿宋_GB2312" w:cs="Times New Roman"/>
                <w:kern w:val="0"/>
                <w:sz w:val="28"/>
                <w:szCs w:val="28"/>
              </w:rPr>
              <w:t>分值</w:t>
            </w:r>
            <w:r>
              <w:rPr>
                <w:rFonts w:ascii="Times New Roman" w:hAnsi="Times New Roman" w:eastAsia="仿宋_GB2312" w:cs="Times New Roman"/>
                <w:kern w:val="0"/>
                <w:sz w:val="28"/>
                <w:szCs w:val="28"/>
              </w:rPr>
              <w:t>的50%、30%、20%计算，第四及以后的，按照10%计算。</w:t>
            </w:r>
          </w:p>
          <w:p>
            <w:pPr>
              <w:autoSpaceDE w:val="0"/>
              <w:autoSpaceDN w:val="0"/>
              <w:adjustRightInd w:val="0"/>
              <w:spacing w:line="36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（4）国家级协（学）会颁发的奖项</w:t>
            </w:r>
            <w:r>
              <w:rPr>
                <w:rFonts w:hint="eastAsia" w:ascii="Times New Roman" w:hAnsi="Times New Roman" w:eastAsia="仿宋_GB2312" w:cs="Times New Roman"/>
                <w:kern w:val="0"/>
                <w:sz w:val="28"/>
                <w:szCs w:val="28"/>
              </w:rPr>
              <w:t>分值</w:t>
            </w:r>
            <w:r>
              <w:rPr>
                <w:rFonts w:ascii="Times New Roman" w:hAnsi="Times New Roman" w:eastAsia="仿宋_GB2312" w:cs="Times New Roman"/>
                <w:kern w:val="0"/>
                <w:sz w:val="28"/>
                <w:szCs w:val="28"/>
              </w:rPr>
              <w:t>计算参照4类及以下奖励执行；具备国家奖推荐权的协会奖</w:t>
            </w:r>
            <w:r>
              <w:rPr>
                <w:rFonts w:hint="eastAsia" w:ascii="Times New Roman" w:hAnsi="Times New Roman" w:eastAsia="仿宋_GB2312" w:cs="Times New Roman"/>
                <w:kern w:val="0"/>
                <w:sz w:val="28"/>
                <w:szCs w:val="28"/>
              </w:rPr>
              <w:t>分值</w:t>
            </w:r>
            <w:r>
              <w:rPr>
                <w:rFonts w:ascii="Times New Roman" w:hAnsi="Times New Roman" w:eastAsia="仿宋_GB2312" w:cs="Times New Roman"/>
                <w:kern w:val="0"/>
                <w:sz w:val="28"/>
                <w:szCs w:val="28"/>
              </w:rPr>
              <w:t>计算参照3类及以下奖励执行。国家级协（学）会二级分会或省级协（学）会颁发的奖项</w:t>
            </w:r>
            <w:r>
              <w:rPr>
                <w:rFonts w:hint="eastAsia" w:ascii="Times New Roman" w:hAnsi="Times New Roman" w:eastAsia="仿宋_GB2312" w:cs="Times New Roman"/>
                <w:kern w:val="0"/>
                <w:sz w:val="28"/>
                <w:szCs w:val="28"/>
              </w:rPr>
              <w:t>分值</w:t>
            </w:r>
            <w:r>
              <w:rPr>
                <w:rFonts w:ascii="Times New Roman" w:hAnsi="Times New Roman" w:eastAsia="仿宋_GB2312" w:cs="Times New Roman"/>
                <w:kern w:val="0"/>
                <w:sz w:val="28"/>
                <w:szCs w:val="28"/>
              </w:rPr>
              <w:t>计算参照5类及以下奖励执行。（按奖项设置排列，超过6类不计</w:t>
            </w:r>
            <w:r>
              <w:rPr>
                <w:rFonts w:hint="eastAsia" w:ascii="Times New Roman" w:hAnsi="Times New Roman" w:eastAsia="仿宋_GB2312" w:cs="Times New Roman"/>
                <w:kern w:val="0"/>
                <w:sz w:val="28"/>
                <w:szCs w:val="28"/>
              </w:rPr>
              <w:t>分值</w:t>
            </w:r>
            <w:r>
              <w:rPr>
                <w:rFonts w:ascii="Times New Roman" w:hAnsi="Times New Roman" w:eastAsia="仿宋_GB2312" w:cs="Times New Roman"/>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6"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532"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710" w:type="pct"/>
            <w:vMerge w:val="continue"/>
          </w:tcPr>
          <w:p>
            <w:pPr>
              <w:autoSpaceDE w:val="0"/>
              <w:autoSpaceDN w:val="0"/>
              <w:adjustRightInd w:val="0"/>
              <w:spacing w:line="360" w:lineRule="exact"/>
              <w:rPr>
                <w:rFonts w:ascii="Times New Roman" w:hAnsi="Times New Roman" w:eastAsia="仿宋_GB2312" w:cs="Times New Roman"/>
                <w:kern w:val="0"/>
                <w:sz w:val="28"/>
                <w:szCs w:val="28"/>
              </w:rPr>
            </w:pPr>
          </w:p>
        </w:tc>
        <w:tc>
          <w:tcPr>
            <w:tcW w:w="645"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第二名</w:t>
            </w:r>
          </w:p>
        </w:tc>
        <w:tc>
          <w:tcPr>
            <w:tcW w:w="368"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300</w:t>
            </w:r>
          </w:p>
        </w:tc>
        <w:tc>
          <w:tcPr>
            <w:tcW w:w="2279" w:type="pct"/>
            <w:vMerge w:val="continue"/>
            <w:vAlign w:val="center"/>
          </w:tcPr>
          <w:p>
            <w:pPr>
              <w:snapToGrid w:val="0"/>
              <w:spacing w:line="360" w:lineRule="exact"/>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6"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532"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710" w:type="pct"/>
            <w:vMerge w:val="continue"/>
          </w:tcPr>
          <w:p>
            <w:pPr>
              <w:autoSpaceDE w:val="0"/>
              <w:autoSpaceDN w:val="0"/>
              <w:adjustRightInd w:val="0"/>
              <w:spacing w:line="360" w:lineRule="exact"/>
              <w:rPr>
                <w:rFonts w:ascii="Times New Roman" w:hAnsi="Times New Roman" w:eastAsia="仿宋_GB2312" w:cs="Times New Roman"/>
                <w:kern w:val="0"/>
                <w:sz w:val="28"/>
                <w:szCs w:val="28"/>
              </w:rPr>
            </w:pPr>
          </w:p>
        </w:tc>
        <w:tc>
          <w:tcPr>
            <w:tcW w:w="645"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第三名</w:t>
            </w:r>
          </w:p>
        </w:tc>
        <w:tc>
          <w:tcPr>
            <w:tcW w:w="368"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200</w:t>
            </w:r>
          </w:p>
        </w:tc>
        <w:tc>
          <w:tcPr>
            <w:tcW w:w="2279" w:type="pct"/>
            <w:vMerge w:val="continue"/>
            <w:vAlign w:val="center"/>
          </w:tcPr>
          <w:p>
            <w:pPr>
              <w:snapToGrid w:val="0"/>
              <w:spacing w:line="360" w:lineRule="exact"/>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6"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532"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710" w:type="pct"/>
            <w:vMerge w:val="continue"/>
          </w:tcPr>
          <w:p>
            <w:pPr>
              <w:autoSpaceDE w:val="0"/>
              <w:autoSpaceDN w:val="0"/>
              <w:adjustRightInd w:val="0"/>
              <w:spacing w:line="360" w:lineRule="exact"/>
              <w:rPr>
                <w:rFonts w:ascii="Times New Roman" w:hAnsi="Times New Roman" w:eastAsia="仿宋_GB2312" w:cs="Times New Roman"/>
                <w:kern w:val="0"/>
                <w:sz w:val="28"/>
                <w:szCs w:val="28"/>
              </w:rPr>
            </w:pPr>
          </w:p>
        </w:tc>
        <w:tc>
          <w:tcPr>
            <w:tcW w:w="645"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第四名</w:t>
            </w:r>
          </w:p>
        </w:tc>
        <w:tc>
          <w:tcPr>
            <w:tcW w:w="368"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150</w:t>
            </w:r>
          </w:p>
        </w:tc>
        <w:tc>
          <w:tcPr>
            <w:tcW w:w="2279" w:type="pct"/>
            <w:vMerge w:val="continue"/>
            <w:vAlign w:val="center"/>
          </w:tcPr>
          <w:p>
            <w:pPr>
              <w:snapToGrid w:val="0"/>
              <w:spacing w:line="360" w:lineRule="exact"/>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6"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532"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710" w:type="pct"/>
            <w:vMerge w:val="continue"/>
          </w:tcPr>
          <w:p>
            <w:pPr>
              <w:autoSpaceDE w:val="0"/>
              <w:autoSpaceDN w:val="0"/>
              <w:adjustRightInd w:val="0"/>
              <w:spacing w:line="360" w:lineRule="exact"/>
              <w:rPr>
                <w:rFonts w:ascii="Times New Roman" w:hAnsi="Times New Roman" w:eastAsia="仿宋_GB2312" w:cs="Times New Roman"/>
                <w:kern w:val="0"/>
                <w:sz w:val="28"/>
                <w:szCs w:val="28"/>
              </w:rPr>
            </w:pPr>
          </w:p>
        </w:tc>
        <w:tc>
          <w:tcPr>
            <w:tcW w:w="645"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第五名</w:t>
            </w:r>
          </w:p>
        </w:tc>
        <w:tc>
          <w:tcPr>
            <w:tcW w:w="368"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100</w:t>
            </w:r>
          </w:p>
        </w:tc>
        <w:tc>
          <w:tcPr>
            <w:tcW w:w="2279" w:type="pct"/>
            <w:vMerge w:val="continue"/>
            <w:vAlign w:val="center"/>
          </w:tcPr>
          <w:p>
            <w:pPr>
              <w:snapToGrid w:val="0"/>
              <w:spacing w:line="360" w:lineRule="exact"/>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6"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532"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710" w:type="pct"/>
            <w:vMerge w:val="continue"/>
          </w:tcPr>
          <w:p>
            <w:pPr>
              <w:autoSpaceDE w:val="0"/>
              <w:autoSpaceDN w:val="0"/>
              <w:adjustRightInd w:val="0"/>
              <w:spacing w:line="360" w:lineRule="exact"/>
              <w:rPr>
                <w:rFonts w:ascii="Times New Roman" w:hAnsi="Times New Roman" w:eastAsia="仿宋_GB2312" w:cs="Times New Roman"/>
                <w:kern w:val="0"/>
                <w:sz w:val="28"/>
                <w:szCs w:val="28"/>
              </w:rPr>
            </w:pPr>
          </w:p>
        </w:tc>
        <w:tc>
          <w:tcPr>
            <w:tcW w:w="645"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其它</w:t>
            </w:r>
          </w:p>
        </w:tc>
        <w:tc>
          <w:tcPr>
            <w:tcW w:w="368"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60</w:t>
            </w:r>
          </w:p>
        </w:tc>
        <w:tc>
          <w:tcPr>
            <w:tcW w:w="2279" w:type="pct"/>
            <w:vMerge w:val="continue"/>
            <w:vAlign w:val="center"/>
          </w:tcPr>
          <w:p>
            <w:pPr>
              <w:snapToGrid w:val="0"/>
              <w:spacing w:line="360" w:lineRule="exact"/>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6"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532"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710" w:type="pct"/>
            <w:vMerge w:val="restart"/>
            <w:vAlign w:val="center"/>
          </w:tcPr>
          <w:p>
            <w:pPr>
              <w:autoSpaceDE w:val="0"/>
              <w:autoSpaceDN w:val="0"/>
              <w:adjustRightInd w:val="0"/>
              <w:spacing w:line="36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2</w:t>
            </w:r>
            <w:r>
              <w:rPr>
                <w:rFonts w:hint="eastAsia" w:ascii="Times New Roman" w:hAnsi="Times New Roman" w:eastAsia="仿宋_GB2312" w:cs="Times New Roman"/>
                <w:kern w:val="0"/>
                <w:sz w:val="28"/>
                <w:szCs w:val="28"/>
              </w:rPr>
              <w:t>级</w:t>
            </w:r>
            <w:r>
              <w:rPr>
                <w:rFonts w:ascii="Times New Roman" w:hAnsi="Times New Roman" w:eastAsia="仿宋_GB2312" w:cs="Times New Roman"/>
                <w:kern w:val="0"/>
                <w:sz w:val="28"/>
                <w:szCs w:val="28"/>
              </w:rPr>
              <w:t>：国家级科学技术奖励或社会科学优秀成果奖励二等奖，中国发明专利金奖。</w:t>
            </w:r>
          </w:p>
        </w:tc>
        <w:tc>
          <w:tcPr>
            <w:tcW w:w="645"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第一名</w:t>
            </w:r>
          </w:p>
        </w:tc>
        <w:tc>
          <w:tcPr>
            <w:tcW w:w="368"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300</w:t>
            </w:r>
          </w:p>
        </w:tc>
        <w:tc>
          <w:tcPr>
            <w:tcW w:w="2279" w:type="pct"/>
            <w:vMerge w:val="continue"/>
            <w:vAlign w:val="center"/>
          </w:tcPr>
          <w:p>
            <w:pPr>
              <w:snapToGrid w:val="0"/>
              <w:spacing w:line="360" w:lineRule="exact"/>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6"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532"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710" w:type="pct"/>
            <w:vMerge w:val="continue"/>
          </w:tcPr>
          <w:p>
            <w:pPr>
              <w:autoSpaceDE w:val="0"/>
              <w:autoSpaceDN w:val="0"/>
              <w:adjustRightInd w:val="0"/>
              <w:spacing w:line="360" w:lineRule="exact"/>
              <w:rPr>
                <w:rFonts w:ascii="Times New Roman" w:hAnsi="Times New Roman" w:eastAsia="仿宋_GB2312" w:cs="Times New Roman"/>
                <w:kern w:val="0"/>
                <w:sz w:val="28"/>
                <w:szCs w:val="28"/>
              </w:rPr>
            </w:pPr>
          </w:p>
        </w:tc>
        <w:tc>
          <w:tcPr>
            <w:tcW w:w="645"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第二名</w:t>
            </w:r>
          </w:p>
        </w:tc>
        <w:tc>
          <w:tcPr>
            <w:tcW w:w="368"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150</w:t>
            </w:r>
          </w:p>
        </w:tc>
        <w:tc>
          <w:tcPr>
            <w:tcW w:w="2279" w:type="pct"/>
            <w:vMerge w:val="continue"/>
            <w:vAlign w:val="center"/>
          </w:tcPr>
          <w:p>
            <w:pPr>
              <w:snapToGrid w:val="0"/>
              <w:spacing w:line="360" w:lineRule="exact"/>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6"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532"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710" w:type="pct"/>
            <w:vMerge w:val="continue"/>
          </w:tcPr>
          <w:p>
            <w:pPr>
              <w:autoSpaceDE w:val="0"/>
              <w:autoSpaceDN w:val="0"/>
              <w:adjustRightInd w:val="0"/>
              <w:spacing w:line="360" w:lineRule="exact"/>
              <w:rPr>
                <w:rFonts w:ascii="Times New Roman" w:hAnsi="Times New Roman" w:eastAsia="仿宋_GB2312" w:cs="Times New Roman"/>
                <w:kern w:val="0"/>
                <w:sz w:val="28"/>
                <w:szCs w:val="28"/>
              </w:rPr>
            </w:pPr>
          </w:p>
        </w:tc>
        <w:tc>
          <w:tcPr>
            <w:tcW w:w="645"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第三名</w:t>
            </w:r>
          </w:p>
        </w:tc>
        <w:tc>
          <w:tcPr>
            <w:tcW w:w="368"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120</w:t>
            </w:r>
          </w:p>
        </w:tc>
        <w:tc>
          <w:tcPr>
            <w:tcW w:w="2279" w:type="pct"/>
            <w:vMerge w:val="continue"/>
            <w:vAlign w:val="center"/>
          </w:tcPr>
          <w:p>
            <w:pPr>
              <w:snapToGrid w:val="0"/>
              <w:spacing w:line="360" w:lineRule="exact"/>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6"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532"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710" w:type="pct"/>
            <w:vMerge w:val="continue"/>
          </w:tcPr>
          <w:p>
            <w:pPr>
              <w:autoSpaceDE w:val="0"/>
              <w:autoSpaceDN w:val="0"/>
              <w:adjustRightInd w:val="0"/>
              <w:spacing w:line="360" w:lineRule="exact"/>
              <w:rPr>
                <w:rFonts w:ascii="Times New Roman" w:hAnsi="Times New Roman" w:eastAsia="仿宋_GB2312" w:cs="Times New Roman"/>
                <w:kern w:val="0"/>
                <w:sz w:val="28"/>
                <w:szCs w:val="28"/>
              </w:rPr>
            </w:pPr>
          </w:p>
        </w:tc>
        <w:tc>
          <w:tcPr>
            <w:tcW w:w="645"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第四名</w:t>
            </w:r>
          </w:p>
        </w:tc>
        <w:tc>
          <w:tcPr>
            <w:tcW w:w="368"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90</w:t>
            </w:r>
          </w:p>
        </w:tc>
        <w:tc>
          <w:tcPr>
            <w:tcW w:w="2279" w:type="pct"/>
            <w:vMerge w:val="continue"/>
            <w:vAlign w:val="center"/>
          </w:tcPr>
          <w:p>
            <w:pPr>
              <w:snapToGrid w:val="0"/>
              <w:spacing w:line="360" w:lineRule="exact"/>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6"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532"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710" w:type="pct"/>
            <w:vMerge w:val="continue"/>
          </w:tcPr>
          <w:p>
            <w:pPr>
              <w:autoSpaceDE w:val="0"/>
              <w:autoSpaceDN w:val="0"/>
              <w:adjustRightInd w:val="0"/>
              <w:spacing w:line="360" w:lineRule="exact"/>
              <w:rPr>
                <w:rFonts w:ascii="Times New Roman" w:hAnsi="Times New Roman" w:eastAsia="仿宋_GB2312" w:cs="Times New Roman"/>
                <w:kern w:val="0"/>
                <w:sz w:val="28"/>
                <w:szCs w:val="28"/>
              </w:rPr>
            </w:pPr>
          </w:p>
        </w:tc>
        <w:tc>
          <w:tcPr>
            <w:tcW w:w="645"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第五名</w:t>
            </w:r>
          </w:p>
        </w:tc>
        <w:tc>
          <w:tcPr>
            <w:tcW w:w="368"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60</w:t>
            </w:r>
          </w:p>
        </w:tc>
        <w:tc>
          <w:tcPr>
            <w:tcW w:w="2279" w:type="pct"/>
            <w:vMerge w:val="continue"/>
            <w:vAlign w:val="center"/>
          </w:tcPr>
          <w:p>
            <w:pPr>
              <w:snapToGrid w:val="0"/>
              <w:spacing w:line="360" w:lineRule="exact"/>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6"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532"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710" w:type="pct"/>
            <w:vMerge w:val="continue"/>
          </w:tcPr>
          <w:p>
            <w:pPr>
              <w:autoSpaceDE w:val="0"/>
              <w:autoSpaceDN w:val="0"/>
              <w:adjustRightInd w:val="0"/>
              <w:spacing w:line="360" w:lineRule="exact"/>
              <w:rPr>
                <w:rFonts w:ascii="Times New Roman" w:hAnsi="Times New Roman" w:eastAsia="仿宋_GB2312" w:cs="Times New Roman"/>
                <w:kern w:val="0"/>
                <w:sz w:val="28"/>
                <w:szCs w:val="28"/>
              </w:rPr>
            </w:pPr>
          </w:p>
        </w:tc>
        <w:tc>
          <w:tcPr>
            <w:tcW w:w="645"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其它</w:t>
            </w:r>
          </w:p>
        </w:tc>
        <w:tc>
          <w:tcPr>
            <w:tcW w:w="368"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30</w:t>
            </w:r>
          </w:p>
        </w:tc>
        <w:tc>
          <w:tcPr>
            <w:tcW w:w="2279" w:type="pct"/>
            <w:vMerge w:val="continue"/>
            <w:vAlign w:val="center"/>
          </w:tcPr>
          <w:p>
            <w:pPr>
              <w:snapToGrid w:val="0"/>
              <w:spacing w:line="360" w:lineRule="exact"/>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6"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532" w:type="pct"/>
            <w:vMerge w:val="continue"/>
            <w:vAlign w:val="center"/>
          </w:tcPr>
          <w:p>
            <w:pPr>
              <w:snapToGrid w:val="0"/>
              <w:spacing w:line="360" w:lineRule="exact"/>
              <w:jc w:val="center"/>
              <w:rPr>
                <w:rFonts w:ascii="Times New Roman" w:hAnsi="Times New Roman" w:eastAsia="仿宋_GB2312" w:cs="Times New Roman"/>
                <w:b/>
                <w:sz w:val="28"/>
                <w:szCs w:val="28"/>
              </w:rPr>
            </w:pPr>
          </w:p>
        </w:tc>
        <w:tc>
          <w:tcPr>
            <w:tcW w:w="710" w:type="pct"/>
            <w:vMerge w:val="restart"/>
            <w:vAlign w:val="center"/>
          </w:tcPr>
          <w:p>
            <w:pPr>
              <w:autoSpaceDE w:val="0"/>
              <w:autoSpaceDN w:val="0"/>
              <w:adjustRightInd w:val="0"/>
              <w:spacing w:line="36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3</w:t>
            </w:r>
            <w:r>
              <w:rPr>
                <w:rFonts w:hint="eastAsia" w:ascii="Times New Roman" w:hAnsi="Times New Roman" w:eastAsia="仿宋_GB2312" w:cs="Times New Roman"/>
                <w:kern w:val="0"/>
                <w:sz w:val="28"/>
                <w:szCs w:val="28"/>
              </w:rPr>
              <w:t>级</w:t>
            </w:r>
            <w:r>
              <w:rPr>
                <w:rFonts w:ascii="Times New Roman" w:hAnsi="Times New Roman" w:eastAsia="仿宋_GB2312" w:cs="Times New Roman"/>
                <w:kern w:val="0"/>
                <w:sz w:val="28"/>
                <w:szCs w:val="28"/>
              </w:rPr>
              <w:t>：省部级科学技术奖励或社会科学优秀成果奖励一等奖。</w:t>
            </w:r>
          </w:p>
        </w:tc>
        <w:tc>
          <w:tcPr>
            <w:tcW w:w="645"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第一名</w:t>
            </w:r>
          </w:p>
        </w:tc>
        <w:tc>
          <w:tcPr>
            <w:tcW w:w="368"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120</w:t>
            </w:r>
          </w:p>
        </w:tc>
        <w:tc>
          <w:tcPr>
            <w:tcW w:w="2279" w:type="pct"/>
            <w:vMerge w:val="continue"/>
            <w:vAlign w:val="center"/>
          </w:tcPr>
          <w:p>
            <w:pPr>
              <w:autoSpaceDE w:val="0"/>
              <w:autoSpaceDN w:val="0"/>
              <w:adjustRightInd w:val="0"/>
              <w:spacing w:line="360" w:lineRule="exact"/>
              <w:rPr>
                <w:rFonts w:ascii="Times New Roman" w:hAnsi="Times New Roman" w:eastAsia="仿宋_GB2312" w:cs="Times New Roman"/>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6"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532"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710" w:type="pct"/>
            <w:vMerge w:val="continue"/>
          </w:tcPr>
          <w:p>
            <w:pPr>
              <w:autoSpaceDE w:val="0"/>
              <w:autoSpaceDN w:val="0"/>
              <w:adjustRightInd w:val="0"/>
              <w:spacing w:line="360" w:lineRule="exact"/>
              <w:rPr>
                <w:rFonts w:ascii="Times New Roman" w:hAnsi="Times New Roman" w:eastAsia="仿宋_GB2312" w:cs="Times New Roman"/>
                <w:kern w:val="0"/>
                <w:sz w:val="28"/>
                <w:szCs w:val="28"/>
              </w:rPr>
            </w:pPr>
          </w:p>
        </w:tc>
        <w:tc>
          <w:tcPr>
            <w:tcW w:w="645"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第二名</w:t>
            </w:r>
          </w:p>
        </w:tc>
        <w:tc>
          <w:tcPr>
            <w:tcW w:w="368"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60</w:t>
            </w:r>
          </w:p>
        </w:tc>
        <w:tc>
          <w:tcPr>
            <w:tcW w:w="2279" w:type="pct"/>
            <w:vMerge w:val="continue"/>
            <w:vAlign w:val="center"/>
          </w:tcPr>
          <w:p>
            <w:pPr>
              <w:snapToGrid w:val="0"/>
              <w:spacing w:line="360" w:lineRule="exact"/>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6"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532"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710" w:type="pct"/>
            <w:vMerge w:val="continue"/>
          </w:tcPr>
          <w:p>
            <w:pPr>
              <w:autoSpaceDE w:val="0"/>
              <w:autoSpaceDN w:val="0"/>
              <w:adjustRightInd w:val="0"/>
              <w:spacing w:line="360" w:lineRule="exact"/>
              <w:rPr>
                <w:rFonts w:ascii="Times New Roman" w:hAnsi="Times New Roman" w:eastAsia="仿宋_GB2312" w:cs="Times New Roman"/>
                <w:kern w:val="0"/>
                <w:sz w:val="28"/>
                <w:szCs w:val="28"/>
              </w:rPr>
            </w:pPr>
          </w:p>
        </w:tc>
        <w:tc>
          <w:tcPr>
            <w:tcW w:w="645"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第三名</w:t>
            </w:r>
          </w:p>
        </w:tc>
        <w:tc>
          <w:tcPr>
            <w:tcW w:w="368"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45</w:t>
            </w:r>
          </w:p>
        </w:tc>
        <w:tc>
          <w:tcPr>
            <w:tcW w:w="2279" w:type="pct"/>
            <w:vMerge w:val="continue"/>
            <w:vAlign w:val="center"/>
          </w:tcPr>
          <w:p>
            <w:pPr>
              <w:snapToGrid w:val="0"/>
              <w:spacing w:line="360" w:lineRule="exact"/>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6"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532"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710" w:type="pct"/>
            <w:vMerge w:val="continue"/>
          </w:tcPr>
          <w:p>
            <w:pPr>
              <w:autoSpaceDE w:val="0"/>
              <w:autoSpaceDN w:val="0"/>
              <w:adjustRightInd w:val="0"/>
              <w:spacing w:line="360" w:lineRule="exact"/>
              <w:rPr>
                <w:rFonts w:ascii="Times New Roman" w:hAnsi="Times New Roman" w:eastAsia="仿宋_GB2312" w:cs="Times New Roman"/>
                <w:kern w:val="0"/>
                <w:sz w:val="28"/>
                <w:szCs w:val="28"/>
              </w:rPr>
            </w:pPr>
          </w:p>
        </w:tc>
        <w:tc>
          <w:tcPr>
            <w:tcW w:w="645"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第四名</w:t>
            </w:r>
          </w:p>
        </w:tc>
        <w:tc>
          <w:tcPr>
            <w:tcW w:w="368"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30</w:t>
            </w:r>
          </w:p>
        </w:tc>
        <w:tc>
          <w:tcPr>
            <w:tcW w:w="2279" w:type="pct"/>
            <w:vMerge w:val="continue"/>
            <w:vAlign w:val="center"/>
          </w:tcPr>
          <w:p>
            <w:pPr>
              <w:snapToGrid w:val="0"/>
              <w:spacing w:line="360" w:lineRule="exact"/>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6"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532"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710" w:type="pct"/>
            <w:vMerge w:val="continue"/>
          </w:tcPr>
          <w:p>
            <w:pPr>
              <w:autoSpaceDE w:val="0"/>
              <w:autoSpaceDN w:val="0"/>
              <w:adjustRightInd w:val="0"/>
              <w:spacing w:line="360" w:lineRule="exact"/>
              <w:rPr>
                <w:rFonts w:ascii="Times New Roman" w:hAnsi="Times New Roman" w:eastAsia="仿宋_GB2312" w:cs="Times New Roman"/>
                <w:kern w:val="0"/>
                <w:sz w:val="28"/>
                <w:szCs w:val="28"/>
              </w:rPr>
            </w:pPr>
          </w:p>
        </w:tc>
        <w:tc>
          <w:tcPr>
            <w:tcW w:w="645"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第五名</w:t>
            </w:r>
          </w:p>
        </w:tc>
        <w:tc>
          <w:tcPr>
            <w:tcW w:w="368"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20</w:t>
            </w:r>
          </w:p>
        </w:tc>
        <w:tc>
          <w:tcPr>
            <w:tcW w:w="2279" w:type="pct"/>
            <w:vMerge w:val="continue"/>
            <w:vAlign w:val="center"/>
          </w:tcPr>
          <w:p>
            <w:pPr>
              <w:snapToGrid w:val="0"/>
              <w:spacing w:line="360" w:lineRule="exact"/>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6"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532"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710" w:type="pct"/>
            <w:vMerge w:val="continue"/>
          </w:tcPr>
          <w:p>
            <w:pPr>
              <w:autoSpaceDE w:val="0"/>
              <w:autoSpaceDN w:val="0"/>
              <w:adjustRightInd w:val="0"/>
              <w:spacing w:line="360" w:lineRule="exact"/>
              <w:rPr>
                <w:rFonts w:ascii="Times New Roman" w:hAnsi="Times New Roman" w:eastAsia="仿宋_GB2312" w:cs="Times New Roman"/>
                <w:kern w:val="0"/>
                <w:sz w:val="28"/>
                <w:szCs w:val="28"/>
              </w:rPr>
            </w:pPr>
          </w:p>
        </w:tc>
        <w:tc>
          <w:tcPr>
            <w:tcW w:w="645"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其他名</w:t>
            </w:r>
          </w:p>
        </w:tc>
        <w:tc>
          <w:tcPr>
            <w:tcW w:w="368"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10</w:t>
            </w:r>
          </w:p>
        </w:tc>
        <w:tc>
          <w:tcPr>
            <w:tcW w:w="2279" w:type="pct"/>
            <w:vMerge w:val="continue"/>
            <w:vAlign w:val="center"/>
          </w:tcPr>
          <w:p>
            <w:pPr>
              <w:snapToGrid w:val="0"/>
              <w:spacing w:line="360" w:lineRule="exact"/>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6"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532"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710" w:type="pct"/>
            <w:vMerge w:val="restart"/>
            <w:vAlign w:val="center"/>
          </w:tcPr>
          <w:p>
            <w:pPr>
              <w:autoSpaceDE w:val="0"/>
              <w:autoSpaceDN w:val="0"/>
              <w:adjustRightInd w:val="0"/>
              <w:spacing w:line="360" w:lineRule="exac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4</w:t>
            </w:r>
            <w:r>
              <w:rPr>
                <w:rFonts w:hint="eastAsia" w:ascii="Times New Roman" w:hAnsi="Times New Roman" w:eastAsia="仿宋_GB2312" w:cs="Times New Roman"/>
                <w:kern w:val="0"/>
                <w:sz w:val="28"/>
                <w:szCs w:val="28"/>
              </w:rPr>
              <w:t>级</w:t>
            </w:r>
            <w:r>
              <w:rPr>
                <w:rFonts w:ascii="Times New Roman" w:hAnsi="Times New Roman" w:eastAsia="仿宋_GB2312" w:cs="Times New Roman"/>
                <w:kern w:val="0"/>
                <w:sz w:val="28"/>
                <w:szCs w:val="28"/>
              </w:rPr>
              <w:t>：省部级科学技术奖励或社会科学优秀成果奖励二等奖。</w:t>
            </w:r>
          </w:p>
        </w:tc>
        <w:tc>
          <w:tcPr>
            <w:tcW w:w="645"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第一名</w:t>
            </w:r>
          </w:p>
        </w:tc>
        <w:tc>
          <w:tcPr>
            <w:tcW w:w="368"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60</w:t>
            </w:r>
          </w:p>
        </w:tc>
        <w:tc>
          <w:tcPr>
            <w:tcW w:w="2279" w:type="pct"/>
            <w:vMerge w:val="continue"/>
            <w:vAlign w:val="center"/>
          </w:tcPr>
          <w:p>
            <w:pPr>
              <w:snapToGrid w:val="0"/>
              <w:spacing w:line="360" w:lineRule="exact"/>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6"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532"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710" w:type="pct"/>
            <w:vMerge w:val="continue"/>
          </w:tcPr>
          <w:p>
            <w:pPr>
              <w:autoSpaceDE w:val="0"/>
              <w:autoSpaceDN w:val="0"/>
              <w:adjustRightInd w:val="0"/>
              <w:spacing w:line="360" w:lineRule="exact"/>
              <w:rPr>
                <w:rFonts w:ascii="Times New Roman" w:hAnsi="Times New Roman" w:eastAsia="仿宋_GB2312" w:cs="Times New Roman"/>
                <w:kern w:val="0"/>
                <w:sz w:val="28"/>
                <w:szCs w:val="28"/>
              </w:rPr>
            </w:pPr>
          </w:p>
        </w:tc>
        <w:tc>
          <w:tcPr>
            <w:tcW w:w="645"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第二名</w:t>
            </w:r>
          </w:p>
        </w:tc>
        <w:tc>
          <w:tcPr>
            <w:tcW w:w="368"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30</w:t>
            </w:r>
          </w:p>
        </w:tc>
        <w:tc>
          <w:tcPr>
            <w:tcW w:w="2279" w:type="pct"/>
            <w:vMerge w:val="continue"/>
            <w:vAlign w:val="center"/>
          </w:tcPr>
          <w:p>
            <w:pPr>
              <w:snapToGrid w:val="0"/>
              <w:spacing w:line="360" w:lineRule="exact"/>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6"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532"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710" w:type="pct"/>
            <w:vMerge w:val="continue"/>
          </w:tcPr>
          <w:p>
            <w:pPr>
              <w:autoSpaceDE w:val="0"/>
              <w:autoSpaceDN w:val="0"/>
              <w:adjustRightInd w:val="0"/>
              <w:spacing w:line="360" w:lineRule="exact"/>
              <w:rPr>
                <w:rFonts w:ascii="Times New Roman" w:hAnsi="Times New Roman" w:eastAsia="仿宋_GB2312" w:cs="Times New Roman"/>
                <w:kern w:val="0"/>
                <w:sz w:val="28"/>
                <w:szCs w:val="28"/>
              </w:rPr>
            </w:pPr>
          </w:p>
        </w:tc>
        <w:tc>
          <w:tcPr>
            <w:tcW w:w="645"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第三名</w:t>
            </w:r>
          </w:p>
        </w:tc>
        <w:tc>
          <w:tcPr>
            <w:tcW w:w="368"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20</w:t>
            </w:r>
          </w:p>
        </w:tc>
        <w:tc>
          <w:tcPr>
            <w:tcW w:w="2279" w:type="pct"/>
            <w:vMerge w:val="continue"/>
            <w:vAlign w:val="center"/>
          </w:tcPr>
          <w:p>
            <w:pPr>
              <w:snapToGrid w:val="0"/>
              <w:spacing w:line="360" w:lineRule="exact"/>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6"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532" w:type="pct"/>
            <w:vMerge w:val="continue"/>
            <w:vAlign w:val="center"/>
          </w:tcPr>
          <w:p>
            <w:pPr>
              <w:snapToGrid w:val="0"/>
              <w:spacing w:line="360" w:lineRule="exact"/>
              <w:jc w:val="center"/>
              <w:rPr>
                <w:rFonts w:ascii="Times New Roman" w:hAnsi="Times New Roman" w:eastAsia="仿宋_GB2312" w:cs="Times New Roman"/>
                <w:sz w:val="28"/>
                <w:szCs w:val="28"/>
              </w:rPr>
            </w:pPr>
          </w:p>
        </w:tc>
        <w:tc>
          <w:tcPr>
            <w:tcW w:w="710" w:type="pct"/>
            <w:vMerge w:val="continue"/>
          </w:tcPr>
          <w:p>
            <w:pPr>
              <w:autoSpaceDE w:val="0"/>
              <w:autoSpaceDN w:val="0"/>
              <w:adjustRightInd w:val="0"/>
              <w:spacing w:line="360" w:lineRule="exact"/>
              <w:rPr>
                <w:rFonts w:ascii="Times New Roman" w:hAnsi="Times New Roman" w:eastAsia="仿宋_GB2312" w:cs="Times New Roman"/>
                <w:kern w:val="0"/>
                <w:sz w:val="28"/>
                <w:szCs w:val="28"/>
              </w:rPr>
            </w:pPr>
          </w:p>
        </w:tc>
        <w:tc>
          <w:tcPr>
            <w:tcW w:w="645"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其他名</w:t>
            </w:r>
          </w:p>
        </w:tc>
        <w:tc>
          <w:tcPr>
            <w:tcW w:w="368" w:type="pct"/>
            <w:vAlign w:val="center"/>
          </w:tcPr>
          <w:p>
            <w:pPr>
              <w:autoSpaceDE w:val="0"/>
              <w:autoSpaceDN w:val="0"/>
              <w:adjustRightInd w:val="0"/>
              <w:spacing w:line="360" w:lineRule="exact"/>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8</w:t>
            </w:r>
          </w:p>
        </w:tc>
        <w:tc>
          <w:tcPr>
            <w:tcW w:w="2279" w:type="pct"/>
            <w:vMerge w:val="continue"/>
            <w:vAlign w:val="center"/>
          </w:tcPr>
          <w:p>
            <w:pPr>
              <w:snapToGrid w:val="0"/>
              <w:spacing w:line="360" w:lineRule="exact"/>
              <w:jc w:val="center"/>
              <w:rPr>
                <w:rFonts w:ascii="Times New Roman" w:hAnsi="Times New Roman" w:eastAsia="仿宋_GB2312" w:cs="Times New Roman"/>
                <w:sz w:val="28"/>
                <w:szCs w:val="28"/>
              </w:rPr>
            </w:pPr>
          </w:p>
        </w:tc>
      </w:tr>
    </w:tbl>
    <w:p>
      <w:pPr>
        <w:snapToGrid w:val="0"/>
        <w:spacing w:line="540" w:lineRule="exact"/>
        <w:outlineLvl w:val="1"/>
        <w:rPr>
          <w:rFonts w:ascii="Times New Roman" w:hAnsi="Times New Roman" w:eastAsia="仿宋" w:cs="Times New Roman"/>
          <w:sz w:val="24"/>
          <w:szCs w:val="24"/>
          <w:shd w:val="clear" w:color="auto" w:fill="FFFFFF"/>
        </w:rPr>
      </w:pPr>
    </w:p>
    <w:sectPr>
      <w:pgSz w:w="16838" w:h="11906" w:orient="landscape"/>
      <w:pgMar w:top="1440" w:right="1080" w:bottom="1440" w:left="1080"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roma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5A0D9E"/>
    <w:multiLevelType w:val="singleLevel"/>
    <w:tmpl w:val="AB5A0D9E"/>
    <w:lvl w:ilvl="0" w:tentative="0">
      <w:start w:val="1"/>
      <w:numFmt w:val="decimalEnclosedCircleChinese"/>
      <w:suff w:val="nothing"/>
      <w:lvlText w:val="%1　"/>
      <w:lvlJc w:val="left"/>
      <w:pPr>
        <w:ind w:left="0" w:firstLine="400"/>
      </w:pPr>
      <w:rPr>
        <w:rFonts w:hint="eastAsia"/>
      </w:rPr>
    </w:lvl>
  </w:abstractNum>
  <w:abstractNum w:abstractNumId="1">
    <w:nsid w:val="1194B2BD"/>
    <w:multiLevelType w:val="singleLevel"/>
    <w:tmpl w:val="1194B2BD"/>
    <w:lvl w:ilvl="0" w:tentative="0">
      <w:start w:val="1"/>
      <w:numFmt w:val="decimal"/>
      <w:suff w:val="nothing"/>
      <w:lvlText w:val="（%1）"/>
      <w:lvlJc w:val="left"/>
    </w:lvl>
  </w:abstractNum>
  <w:abstractNum w:abstractNumId="2">
    <w:nsid w:val="15597792"/>
    <w:multiLevelType w:val="singleLevel"/>
    <w:tmpl w:val="15597792"/>
    <w:lvl w:ilvl="0" w:tentative="0">
      <w:start w:val="1"/>
      <w:numFmt w:val="decimalEnclosedCircleChinese"/>
      <w:suff w:val="nothing"/>
      <w:lvlText w:val="%1　"/>
      <w:lvlJc w:val="left"/>
      <w:pPr>
        <w:ind w:left="0" w:firstLine="400"/>
      </w:pPr>
      <w:rPr>
        <w:rFonts w:hint="eastAsia"/>
      </w:rPr>
    </w:lvl>
  </w:abstractNum>
  <w:abstractNum w:abstractNumId="3">
    <w:nsid w:val="69F33B4C"/>
    <w:multiLevelType w:val="singleLevel"/>
    <w:tmpl w:val="69F33B4C"/>
    <w:lvl w:ilvl="0" w:tentative="0">
      <w:start w:val="1"/>
      <w:numFmt w:val="decimalEnclosedCircleChinese"/>
      <w:suff w:val="nothing"/>
      <w:lvlText w:val="%1　"/>
      <w:lvlJc w:val="left"/>
      <w:pPr>
        <w:ind w:left="0" w:firstLine="400"/>
      </w:pPr>
      <w:rPr>
        <w:rFonts w:hint="eastAsia"/>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M5ZjNlYjBkZWRjMDJjOTcyOGMwN2JmNDcwOWE0ZmQifQ=="/>
  </w:docVars>
  <w:rsids>
    <w:rsidRoot w:val="004A0CA5"/>
    <w:rsid w:val="000003C1"/>
    <w:rsid w:val="0000291D"/>
    <w:rsid w:val="00006220"/>
    <w:rsid w:val="000138B7"/>
    <w:rsid w:val="000146C2"/>
    <w:rsid w:val="00017F8B"/>
    <w:rsid w:val="00024038"/>
    <w:rsid w:val="0002590A"/>
    <w:rsid w:val="000311C7"/>
    <w:rsid w:val="00034AC5"/>
    <w:rsid w:val="00035D1F"/>
    <w:rsid w:val="00042258"/>
    <w:rsid w:val="0004433D"/>
    <w:rsid w:val="00045FEE"/>
    <w:rsid w:val="000462E0"/>
    <w:rsid w:val="00047876"/>
    <w:rsid w:val="000509DB"/>
    <w:rsid w:val="00053138"/>
    <w:rsid w:val="00055C15"/>
    <w:rsid w:val="000604FC"/>
    <w:rsid w:val="00062EBA"/>
    <w:rsid w:val="000645AD"/>
    <w:rsid w:val="00070A67"/>
    <w:rsid w:val="0007436E"/>
    <w:rsid w:val="00076ABD"/>
    <w:rsid w:val="00077067"/>
    <w:rsid w:val="00086EBE"/>
    <w:rsid w:val="000876A0"/>
    <w:rsid w:val="00091EC4"/>
    <w:rsid w:val="00095D0C"/>
    <w:rsid w:val="000A0AF6"/>
    <w:rsid w:val="000A3CEA"/>
    <w:rsid w:val="000A3F13"/>
    <w:rsid w:val="000A7949"/>
    <w:rsid w:val="000A7959"/>
    <w:rsid w:val="000B42FC"/>
    <w:rsid w:val="000B528F"/>
    <w:rsid w:val="000B6307"/>
    <w:rsid w:val="000C02D0"/>
    <w:rsid w:val="000C0C7B"/>
    <w:rsid w:val="000C5092"/>
    <w:rsid w:val="000D1108"/>
    <w:rsid w:val="000D3963"/>
    <w:rsid w:val="000D578C"/>
    <w:rsid w:val="000D6E9A"/>
    <w:rsid w:val="000E0EDB"/>
    <w:rsid w:val="000F2A64"/>
    <w:rsid w:val="000F4269"/>
    <w:rsid w:val="000F42BD"/>
    <w:rsid w:val="000F4666"/>
    <w:rsid w:val="000F5E38"/>
    <w:rsid w:val="000F6908"/>
    <w:rsid w:val="000F6A99"/>
    <w:rsid w:val="00101ED6"/>
    <w:rsid w:val="001022B1"/>
    <w:rsid w:val="001104E1"/>
    <w:rsid w:val="00126EA8"/>
    <w:rsid w:val="00131EC2"/>
    <w:rsid w:val="00133428"/>
    <w:rsid w:val="00135D4E"/>
    <w:rsid w:val="00143A88"/>
    <w:rsid w:val="00150417"/>
    <w:rsid w:val="00151122"/>
    <w:rsid w:val="00154810"/>
    <w:rsid w:val="00156424"/>
    <w:rsid w:val="0016047E"/>
    <w:rsid w:val="00161FF7"/>
    <w:rsid w:val="0016311D"/>
    <w:rsid w:val="00163AE4"/>
    <w:rsid w:val="00163DAA"/>
    <w:rsid w:val="00164F50"/>
    <w:rsid w:val="00167D35"/>
    <w:rsid w:val="00173AAB"/>
    <w:rsid w:val="001742B6"/>
    <w:rsid w:val="00177CF6"/>
    <w:rsid w:val="001812FB"/>
    <w:rsid w:val="0018222C"/>
    <w:rsid w:val="001866B0"/>
    <w:rsid w:val="00186E16"/>
    <w:rsid w:val="00190132"/>
    <w:rsid w:val="00193B1F"/>
    <w:rsid w:val="001955D5"/>
    <w:rsid w:val="00196C74"/>
    <w:rsid w:val="0019775A"/>
    <w:rsid w:val="00197928"/>
    <w:rsid w:val="00197F4F"/>
    <w:rsid w:val="001A1DF5"/>
    <w:rsid w:val="001B5D08"/>
    <w:rsid w:val="001B5EAA"/>
    <w:rsid w:val="001C1930"/>
    <w:rsid w:val="001C68DE"/>
    <w:rsid w:val="001D1977"/>
    <w:rsid w:val="001D4A74"/>
    <w:rsid w:val="001D7653"/>
    <w:rsid w:val="001E45E4"/>
    <w:rsid w:val="001E562A"/>
    <w:rsid w:val="001E5DDF"/>
    <w:rsid w:val="001E77F7"/>
    <w:rsid w:val="001E7EFE"/>
    <w:rsid w:val="001F078F"/>
    <w:rsid w:val="001F0C88"/>
    <w:rsid w:val="00202B4D"/>
    <w:rsid w:val="00210AB1"/>
    <w:rsid w:val="00212067"/>
    <w:rsid w:val="00212206"/>
    <w:rsid w:val="002132D0"/>
    <w:rsid w:val="00214A19"/>
    <w:rsid w:val="002204FF"/>
    <w:rsid w:val="002228A8"/>
    <w:rsid w:val="00224B79"/>
    <w:rsid w:val="00225567"/>
    <w:rsid w:val="002277CE"/>
    <w:rsid w:val="00234806"/>
    <w:rsid w:val="00236907"/>
    <w:rsid w:val="0024346C"/>
    <w:rsid w:val="00243858"/>
    <w:rsid w:val="00245B89"/>
    <w:rsid w:val="00250847"/>
    <w:rsid w:val="0025220B"/>
    <w:rsid w:val="00254622"/>
    <w:rsid w:val="002557F8"/>
    <w:rsid w:val="00255EB0"/>
    <w:rsid w:val="00263ADA"/>
    <w:rsid w:val="002743BF"/>
    <w:rsid w:val="002778D6"/>
    <w:rsid w:val="00282830"/>
    <w:rsid w:val="00291A3F"/>
    <w:rsid w:val="002937D7"/>
    <w:rsid w:val="00293A4B"/>
    <w:rsid w:val="002A452C"/>
    <w:rsid w:val="002A6978"/>
    <w:rsid w:val="002B02E0"/>
    <w:rsid w:val="002B3577"/>
    <w:rsid w:val="002B51B4"/>
    <w:rsid w:val="002B7702"/>
    <w:rsid w:val="002C1A36"/>
    <w:rsid w:val="002C1BB1"/>
    <w:rsid w:val="002C2ACB"/>
    <w:rsid w:val="002C5719"/>
    <w:rsid w:val="002D2676"/>
    <w:rsid w:val="002D5A88"/>
    <w:rsid w:val="002E3447"/>
    <w:rsid w:val="002E54EF"/>
    <w:rsid w:val="002F0255"/>
    <w:rsid w:val="002F1E04"/>
    <w:rsid w:val="00301996"/>
    <w:rsid w:val="003024A3"/>
    <w:rsid w:val="003151F4"/>
    <w:rsid w:val="003169C3"/>
    <w:rsid w:val="003208A1"/>
    <w:rsid w:val="0032501A"/>
    <w:rsid w:val="003276E8"/>
    <w:rsid w:val="00331D58"/>
    <w:rsid w:val="00334CBE"/>
    <w:rsid w:val="00336985"/>
    <w:rsid w:val="00337539"/>
    <w:rsid w:val="00341E28"/>
    <w:rsid w:val="00350301"/>
    <w:rsid w:val="00351EA2"/>
    <w:rsid w:val="00352E3D"/>
    <w:rsid w:val="00353037"/>
    <w:rsid w:val="003540C4"/>
    <w:rsid w:val="00354A15"/>
    <w:rsid w:val="00354F71"/>
    <w:rsid w:val="00357A06"/>
    <w:rsid w:val="0036056D"/>
    <w:rsid w:val="00364926"/>
    <w:rsid w:val="00370DD5"/>
    <w:rsid w:val="00372761"/>
    <w:rsid w:val="00376E8D"/>
    <w:rsid w:val="00381749"/>
    <w:rsid w:val="0038365E"/>
    <w:rsid w:val="00383D25"/>
    <w:rsid w:val="00384940"/>
    <w:rsid w:val="00387C09"/>
    <w:rsid w:val="00392128"/>
    <w:rsid w:val="0039458A"/>
    <w:rsid w:val="0039506C"/>
    <w:rsid w:val="003A0E8E"/>
    <w:rsid w:val="003A231D"/>
    <w:rsid w:val="003A3CCC"/>
    <w:rsid w:val="003A4E3D"/>
    <w:rsid w:val="003A7188"/>
    <w:rsid w:val="003B20EA"/>
    <w:rsid w:val="003B45FF"/>
    <w:rsid w:val="003C09D4"/>
    <w:rsid w:val="003C5629"/>
    <w:rsid w:val="003C6813"/>
    <w:rsid w:val="003C79DC"/>
    <w:rsid w:val="003D26CF"/>
    <w:rsid w:val="003D2B12"/>
    <w:rsid w:val="003D4B45"/>
    <w:rsid w:val="003D4BD6"/>
    <w:rsid w:val="003D5E14"/>
    <w:rsid w:val="003D6C77"/>
    <w:rsid w:val="003D7C9B"/>
    <w:rsid w:val="003E27AB"/>
    <w:rsid w:val="003E28AE"/>
    <w:rsid w:val="003E353B"/>
    <w:rsid w:val="003E779E"/>
    <w:rsid w:val="003E7E5E"/>
    <w:rsid w:val="003F0595"/>
    <w:rsid w:val="003F3E74"/>
    <w:rsid w:val="003F5C2E"/>
    <w:rsid w:val="003F6CAF"/>
    <w:rsid w:val="003F7A35"/>
    <w:rsid w:val="004018E5"/>
    <w:rsid w:val="0041039D"/>
    <w:rsid w:val="00410F30"/>
    <w:rsid w:val="00411BE7"/>
    <w:rsid w:val="00420F8C"/>
    <w:rsid w:val="00421C38"/>
    <w:rsid w:val="004224E7"/>
    <w:rsid w:val="00432768"/>
    <w:rsid w:val="00432D00"/>
    <w:rsid w:val="0043365D"/>
    <w:rsid w:val="00450A28"/>
    <w:rsid w:val="00450BFE"/>
    <w:rsid w:val="00451FE6"/>
    <w:rsid w:val="00455284"/>
    <w:rsid w:val="004557AA"/>
    <w:rsid w:val="00466E4D"/>
    <w:rsid w:val="00467CDA"/>
    <w:rsid w:val="0047494E"/>
    <w:rsid w:val="004835D9"/>
    <w:rsid w:val="0049368F"/>
    <w:rsid w:val="00495BBD"/>
    <w:rsid w:val="00497773"/>
    <w:rsid w:val="0049786D"/>
    <w:rsid w:val="004A0CA5"/>
    <w:rsid w:val="004A28A1"/>
    <w:rsid w:val="004A4FB6"/>
    <w:rsid w:val="004A75BF"/>
    <w:rsid w:val="004B1D0C"/>
    <w:rsid w:val="004B3C5A"/>
    <w:rsid w:val="004B719B"/>
    <w:rsid w:val="004B7429"/>
    <w:rsid w:val="004C0865"/>
    <w:rsid w:val="004C1A79"/>
    <w:rsid w:val="004C2253"/>
    <w:rsid w:val="004C4859"/>
    <w:rsid w:val="004C565F"/>
    <w:rsid w:val="004C6C2F"/>
    <w:rsid w:val="004D5CA3"/>
    <w:rsid w:val="004D6C28"/>
    <w:rsid w:val="004E10A6"/>
    <w:rsid w:val="004E2E9F"/>
    <w:rsid w:val="00503472"/>
    <w:rsid w:val="005117AA"/>
    <w:rsid w:val="00512635"/>
    <w:rsid w:val="0051363A"/>
    <w:rsid w:val="00514B35"/>
    <w:rsid w:val="005154F7"/>
    <w:rsid w:val="005160EC"/>
    <w:rsid w:val="0051711A"/>
    <w:rsid w:val="005227F2"/>
    <w:rsid w:val="00523C49"/>
    <w:rsid w:val="00527728"/>
    <w:rsid w:val="00531281"/>
    <w:rsid w:val="00533EAA"/>
    <w:rsid w:val="00536A40"/>
    <w:rsid w:val="00545638"/>
    <w:rsid w:val="00545762"/>
    <w:rsid w:val="00546BD6"/>
    <w:rsid w:val="00573102"/>
    <w:rsid w:val="00577B00"/>
    <w:rsid w:val="00580262"/>
    <w:rsid w:val="00581D2D"/>
    <w:rsid w:val="00583F34"/>
    <w:rsid w:val="00584A80"/>
    <w:rsid w:val="00587448"/>
    <w:rsid w:val="00593E7F"/>
    <w:rsid w:val="0059649D"/>
    <w:rsid w:val="005A28BB"/>
    <w:rsid w:val="005A463E"/>
    <w:rsid w:val="005A7551"/>
    <w:rsid w:val="005B16EB"/>
    <w:rsid w:val="005B73DD"/>
    <w:rsid w:val="005C1208"/>
    <w:rsid w:val="005C234E"/>
    <w:rsid w:val="005C2658"/>
    <w:rsid w:val="005D1FDB"/>
    <w:rsid w:val="005D2F6F"/>
    <w:rsid w:val="005D48F7"/>
    <w:rsid w:val="005E54CA"/>
    <w:rsid w:val="005E6C94"/>
    <w:rsid w:val="005F11D2"/>
    <w:rsid w:val="005F1937"/>
    <w:rsid w:val="005F691E"/>
    <w:rsid w:val="006110BC"/>
    <w:rsid w:val="006122B8"/>
    <w:rsid w:val="0062261E"/>
    <w:rsid w:val="00623137"/>
    <w:rsid w:val="0062484A"/>
    <w:rsid w:val="006250A4"/>
    <w:rsid w:val="00625303"/>
    <w:rsid w:val="006372FF"/>
    <w:rsid w:val="0064155E"/>
    <w:rsid w:val="00643F87"/>
    <w:rsid w:val="00645A25"/>
    <w:rsid w:val="006508DF"/>
    <w:rsid w:val="0065483B"/>
    <w:rsid w:val="00660E66"/>
    <w:rsid w:val="00664B23"/>
    <w:rsid w:val="0066720F"/>
    <w:rsid w:val="00667A44"/>
    <w:rsid w:val="00670143"/>
    <w:rsid w:val="00670195"/>
    <w:rsid w:val="0067148D"/>
    <w:rsid w:val="006732E2"/>
    <w:rsid w:val="00674090"/>
    <w:rsid w:val="00677344"/>
    <w:rsid w:val="006774B3"/>
    <w:rsid w:val="00681E85"/>
    <w:rsid w:val="006834D8"/>
    <w:rsid w:val="00693241"/>
    <w:rsid w:val="0069394C"/>
    <w:rsid w:val="0069441B"/>
    <w:rsid w:val="00694E6E"/>
    <w:rsid w:val="00696304"/>
    <w:rsid w:val="00697EAD"/>
    <w:rsid w:val="006B0A78"/>
    <w:rsid w:val="006B5231"/>
    <w:rsid w:val="006B69FA"/>
    <w:rsid w:val="006B7BD7"/>
    <w:rsid w:val="006C1464"/>
    <w:rsid w:val="006C47D4"/>
    <w:rsid w:val="006C48C7"/>
    <w:rsid w:val="006C6219"/>
    <w:rsid w:val="006C6FB7"/>
    <w:rsid w:val="006D090F"/>
    <w:rsid w:val="006D2D1F"/>
    <w:rsid w:val="006D59DA"/>
    <w:rsid w:val="006D6183"/>
    <w:rsid w:val="006D6F81"/>
    <w:rsid w:val="006E5925"/>
    <w:rsid w:val="006E6C71"/>
    <w:rsid w:val="006F154B"/>
    <w:rsid w:val="006F3287"/>
    <w:rsid w:val="006F5984"/>
    <w:rsid w:val="006F663B"/>
    <w:rsid w:val="006F6C6A"/>
    <w:rsid w:val="006F6E6C"/>
    <w:rsid w:val="006F705B"/>
    <w:rsid w:val="00703DD8"/>
    <w:rsid w:val="00704AF2"/>
    <w:rsid w:val="007122D3"/>
    <w:rsid w:val="007147E3"/>
    <w:rsid w:val="007158D4"/>
    <w:rsid w:val="00717220"/>
    <w:rsid w:val="00717653"/>
    <w:rsid w:val="00723E60"/>
    <w:rsid w:val="007413DF"/>
    <w:rsid w:val="00747C88"/>
    <w:rsid w:val="007520FE"/>
    <w:rsid w:val="0075390A"/>
    <w:rsid w:val="00761268"/>
    <w:rsid w:val="007722DD"/>
    <w:rsid w:val="00774406"/>
    <w:rsid w:val="007761CD"/>
    <w:rsid w:val="00796DB4"/>
    <w:rsid w:val="00797543"/>
    <w:rsid w:val="007A30F5"/>
    <w:rsid w:val="007A3DAF"/>
    <w:rsid w:val="007A4E5B"/>
    <w:rsid w:val="007B32FD"/>
    <w:rsid w:val="007B663C"/>
    <w:rsid w:val="007C2CF2"/>
    <w:rsid w:val="007C3374"/>
    <w:rsid w:val="007D4FF0"/>
    <w:rsid w:val="007E1F3A"/>
    <w:rsid w:val="007E7831"/>
    <w:rsid w:val="007F1E28"/>
    <w:rsid w:val="007F3187"/>
    <w:rsid w:val="007F3A61"/>
    <w:rsid w:val="007F53AF"/>
    <w:rsid w:val="007F796F"/>
    <w:rsid w:val="008042B4"/>
    <w:rsid w:val="008064E6"/>
    <w:rsid w:val="00807394"/>
    <w:rsid w:val="008132BF"/>
    <w:rsid w:val="008167CE"/>
    <w:rsid w:val="00817A62"/>
    <w:rsid w:val="00821A60"/>
    <w:rsid w:val="008233F1"/>
    <w:rsid w:val="00825CDD"/>
    <w:rsid w:val="0083048B"/>
    <w:rsid w:val="008319D7"/>
    <w:rsid w:val="00835240"/>
    <w:rsid w:val="0083573E"/>
    <w:rsid w:val="00836054"/>
    <w:rsid w:val="00837E9F"/>
    <w:rsid w:val="00840123"/>
    <w:rsid w:val="00842981"/>
    <w:rsid w:val="00844983"/>
    <w:rsid w:val="008513FA"/>
    <w:rsid w:val="008524BF"/>
    <w:rsid w:val="008537D8"/>
    <w:rsid w:val="008567FF"/>
    <w:rsid w:val="00860FD6"/>
    <w:rsid w:val="00861BA9"/>
    <w:rsid w:val="00862AF0"/>
    <w:rsid w:val="00867692"/>
    <w:rsid w:val="008728C3"/>
    <w:rsid w:val="00872ECB"/>
    <w:rsid w:val="0087363E"/>
    <w:rsid w:val="00873F9F"/>
    <w:rsid w:val="0087500A"/>
    <w:rsid w:val="0087635B"/>
    <w:rsid w:val="00876A1A"/>
    <w:rsid w:val="0087767A"/>
    <w:rsid w:val="00883C88"/>
    <w:rsid w:val="008848C0"/>
    <w:rsid w:val="00885FC5"/>
    <w:rsid w:val="00886FA7"/>
    <w:rsid w:val="008870CF"/>
    <w:rsid w:val="0089020B"/>
    <w:rsid w:val="008911E9"/>
    <w:rsid w:val="008941EB"/>
    <w:rsid w:val="00896DF1"/>
    <w:rsid w:val="008A1BE9"/>
    <w:rsid w:val="008A1F3D"/>
    <w:rsid w:val="008A5CD9"/>
    <w:rsid w:val="008A7C21"/>
    <w:rsid w:val="008C1112"/>
    <w:rsid w:val="008C3754"/>
    <w:rsid w:val="008C3A1C"/>
    <w:rsid w:val="008C4C14"/>
    <w:rsid w:val="008C6E39"/>
    <w:rsid w:val="008D019B"/>
    <w:rsid w:val="008D2DE6"/>
    <w:rsid w:val="008D3FCA"/>
    <w:rsid w:val="008D6135"/>
    <w:rsid w:val="008E211B"/>
    <w:rsid w:val="008E3C74"/>
    <w:rsid w:val="008E4D82"/>
    <w:rsid w:val="008E7C23"/>
    <w:rsid w:val="008F62C7"/>
    <w:rsid w:val="008F7722"/>
    <w:rsid w:val="008F77C7"/>
    <w:rsid w:val="00903F15"/>
    <w:rsid w:val="00906221"/>
    <w:rsid w:val="00910D98"/>
    <w:rsid w:val="00915FAD"/>
    <w:rsid w:val="009204C5"/>
    <w:rsid w:val="0093119A"/>
    <w:rsid w:val="00931518"/>
    <w:rsid w:val="00931F3A"/>
    <w:rsid w:val="009362E1"/>
    <w:rsid w:val="009409F5"/>
    <w:rsid w:val="00941179"/>
    <w:rsid w:val="00947AF3"/>
    <w:rsid w:val="00956296"/>
    <w:rsid w:val="009609E9"/>
    <w:rsid w:val="009624B6"/>
    <w:rsid w:val="00962B54"/>
    <w:rsid w:val="00964D3C"/>
    <w:rsid w:val="00977057"/>
    <w:rsid w:val="00977826"/>
    <w:rsid w:val="009811F7"/>
    <w:rsid w:val="009851A3"/>
    <w:rsid w:val="00994CAB"/>
    <w:rsid w:val="00996C78"/>
    <w:rsid w:val="009A3EFA"/>
    <w:rsid w:val="009A5443"/>
    <w:rsid w:val="009A7187"/>
    <w:rsid w:val="009B499F"/>
    <w:rsid w:val="009B4C12"/>
    <w:rsid w:val="009B76EA"/>
    <w:rsid w:val="009C0244"/>
    <w:rsid w:val="009C6EA1"/>
    <w:rsid w:val="009C7CC8"/>
    <w:rsid w:val="009D0250"/>
    <w:rsid w:val="009D32CF"/>
    <w:rsid w:val="009D4DA7"/>
    <w:rsid w:val="009D56AB"/>
    <w:rsid w:val="009D6BD5"/>
    <w:rsid w:val="009E3A80"/>
    <w:rsid w:val="009E4113"/>
    <w:rsid w:val="009E6778"/>
    <w:rsid w:val="009F0EDD"/>
    <w:rsid w:val="009F1C92"/>
    <w:rsid w:val="009F3026"/>
    <w:rsid w:val="009F7105"/>
    <w:rsid w:val="00A0342B"/>
    <w:rsid w:val="00A056C6"/>
    <w:rsid w:val="00A07BA3"/>
    <w:rsid w:val="00A156AA"/>
    <w:rsid w:val="00A200F4"/>
    <w:rsid w:val="00A20182"/>
    <w:rsid w:val="00A20387"/>
    <w:rsid w:val="00A22800"/>
    <w:rsid w:val="00A2640E"/>
    <w:rsid w:val="00A3182D"/>
    <w:rsid w:val="00A327C1"/>
    <w:rsid w:val="00A34AEB"/>
    <w:rsid w:val="00A363E1"/>
    <w:rsid w:val="00A43033"/>
    <w:rsid w:val="00A52AFA"/>
    <w:rsid w:val="00A54F2B"/>
    <w:rsid w:val="00A56AD7"/>
    <w:rsid w:val="00A60445"/>
    <w:rsid w:val="00A64C6B"/>
    <w:rsid w:val="00A667FB"/>
    <w:rsid w:val="00A7002F"/>
    <w:rsid w:val="00A70306"/>
    <w:rsid w:val="00A70EFE"/>
    <w:rsid w:val="00A715CC"/>
    <w:rsid w:val="00A73D4C"/>
    <w:rsid w:val="00A7602F"/>
    <w:rsid w:val="00A7720C"/>
    <w:rsid w:val="00A8319E"/>
    <w:rsid w:val="00A878EB"/>
    <w:rsid w:val="00A94691"/>
    <w:rsid w:val="00A949D3"/>
    <w:rsid w:val="00A970D4"/>
    <w:rsid w:val="00AA0C2A"/>
    <w:rsid w:val="00AA2378"/>
    <w:rsid w:val="00AA26C6"/>
    <w:rsid w:val="00AA3861"/>
    <w:rsid w:val="00AC0041"/>
    <w:rsid w:val="00AC0E23"/>
    <w:rsid w:val="00AC364C"/>
    <w:rsid w:val="00AC7EFD"/>
    <w:rsid w:val="00AE526B"/>
    <w:rsid w:val="00AE70F9"/>
    <w:rsid w:val="00AF35D7"/>
    <w:rsid w:val="00AF49B3"/>
    <w:rsid w:val="00AF6B31"/>
    <w:rsid w:val="00B019A2"/>
    <w:rsid w:val="00B02306"/>
    <w:rsid w:val="00B1215E"/>
    <w:rsid w:val="00B142C0"/>
    <w:rsid w:val="00B17732"/>
    <w:rsid w:val="00B21A9B"/>
    <w:rsid w:val="00B23637"/>
    <w:rsid w:val="00B240C0"/>
    <w:rsid w:val="00B265FB"/>
    <w:rsid w:val="00B26825"/>
    <w:rsid w:val="00B30658"/>
    <w:rsid w:val="00B318DD"/>
    <w:rsid w:val="00B31E02"/>
    <w:rsid w:val="00B3210D"/>
    <w:rsid w:val="00B36AAC"/>
    <w:rsid w:val="00B370F4"/>
    <w:rsid w:val="00B40877"/>
    <w:rsid w:val="00B42B92"/>
    <w:rsid w:val="00B47694"/>
    <w:rsid w:val="00B52288"/>
    <w:rsid w:val="00B5289B"/>
    <w:rsid w:val="00B54368"/>
    <w:rsid w:val="00B55CC8"/>
    <w:rsid w:val="00B563DB"/>
    <w:rsid w:val="00B60ECD"/>
    <w:rsid w:val="00B62D60"/>
    <w:rsid w:val="00B727C3"/>
    <w:rsid w:val="00B72804"/>
    <w:rsid w:val="00B82D3C"/>
    <w:rsid w:val="00B84D15"/>
    <w:rsid w:val="00B8686D"/>
    <w:rsid w:val="00B9600E"/>
    <w:rsid w:val="00BA0BCA"/>
    <w:rsid w:val="00BA3751"/>
    <w:rsid w:val="00BA682F"/>
    <w:rsid w:val="00BB42F0"/>
    <w:rsid w:val="00BB5C92"/>
    <w:rsid w:val="00BB77C7"/>
    <w:rsid w:val="00BC04F8"/>
    <w:rsid w:val="00BC0D7F"/>
    <w:rsid w:val="00BC0ECA"/>
    <w:rsid w:val="00BC3C26"/>
    <w:rsid w:val="00BC43B6"/>
    <w:rsid w:val="00BC51A3"/>
    <w:rsid w:val="00BD3952"/>
    <w:rsid w:val="00BD404B"/>
    <w:rsid w:val="00BD4326"/>
    <w:rsid w:val="00BD4A89"/>
    <w:rsid w:val="00BD4DA6"/>
    <w:rsid w:val="00BD616E"/>
    <w:rsid w:val="00BD7691"/>
    <w:rsid w:val="00BE2525"/>
    <w:rsid w:val="00BE4C91"/>
    <w:rsid w:val="00BE66F2"/>
    <w:rsid w:val="00C03240"/>
    <w:rsid w:val="00C048A1"/>
    <w:rsid w:val="00C079E1"/>
    <w:rsid w:val="00C12080"/>
    <w:rsid w:val="00C16566"/>
    <w:rsid w:val="00C16E9C"/>
    <w:rsid w:val="00C21D7E"/>
    <w:rsid w:val="00C220B8"/>
    <w:rsid w:val="00C2293C"/>
    <w:rsid w:val="00C26A5C"/>
    <w:rsid w:val="00C272BF"/>
    <w:rsid w:val="00C31192"/>
    <w:rsid w:val="00C31DB2"/>
    <w:rsid w:val="00C34983"/>
    <w:rsid w:val="00C41BFC"/>
    <w:rsid w:val="00C439B7"/>
    <w:rsid w:val="00C45A1B"/>
    <w:rsid w:val="00C45A7F"/>
    <w:rsid w:val="00C46E81"/>
    <w:rsid w:val="00C53ECA"/>
    <w:rsid w:val="00C565E2"/>
    <w:rsid w:val="00C63D72"/>
    <w:rsid w:val="00C64B75"/>
    <w:rsid w:val="00C6772D"/>
    <w:rsid w:val="00C701B6"/>
    <w:rsid w:val="00C7330D"/>
    <w:rsid w:val="00C76B0A"/>
    <w:rsid w:val="00C9055F"/>
    <w:rsid w:val="00C92DEF"/>
    <w:rsid w:val="00C94D40"/>
    <w:rsid w:val="00CA0381"/>
    <w:rsid w:val="00CA0EE8"/>
    <w:rsid w:val="00CA3B97"/>
    <w:rsid w:val="00CA3D83"/>
    <w:rsid w:val="00CA5808"/>
    <w:rsid w:val="00CB1A21"/>
    <w:rsid w:val="00CB2B76"/>
    <w:rsid w:val="00CB3C90"/>
    <w:rsid w:val="00CB72CE"/>
    <w:rsid w:val="00CC050E"/>
    <w:rsid w:val="00CC3BB0"/>
    <w:rsid w:val="00CD0324"/>
    <w:rsid w:val="00CD0F86"/>
    <w:rsid w:val="00CD27EF"/>
    <w:rsid w:val="00CD3C51"/>
    <w:rsid w:val="00CD5291"/>
    <w:rsid w:val="00CD6A20"/>
    <w:rsid w:val="00CE12F7"/>
    <w:rsid w:val="00CE44EA"/>
    <w:rsid w:val="00CE6786"/>
    <w:rsid w:val="00CE7637"/>
    <w:rsid w:val="00CF1D4E"/>
    <w:rsid w:val="00CF2BAE"/>
    <w:rsid w:val="00CF4C5F"/>
    <w:rsid w:val="00CF5BF2"/>
    <w:rsid w:val="00D001CF"/>
    <w:rsid w:val="00D01D8C"/>
    <w:rsid w:val="00D02785"/>
    <w:rsid w:val="00D02A3A"/>
    <w:rsid w:val="00D072FC"/>
    <w:rsid w:val="00D10D82"/>
    <w:rsid w:val="00D12528"/>
    <w:rsid w:val="00D13EB6"/>
    <w:rsid w:val="00D143FA"/>
    <w:rsid w:val="00D14B8B"/>
    <w:rsid w:val="00D159CD"/>
    <w:rsid w:val="00D16FC2"/>
    <w:rsid w:val="00D30824"/>
    <w:rsid w:val="00D36098"/>
    <w:rsid w:val="00D37E96"/>
    <w:rsid w:val="00D4093D"/>
    <w:rsid w:val="00D4347A"/>
    <w:rsid w:val="00D44A29"/>
    <w:rsid w:val="00D45DDF"/>
    <w:rsid w:val="00D46125"/>
    <w:rsid w:val="00D462AE"/>
    <w:rsid w:val="00D46610"/>
    <w:rsid w:val="00D513CE"/>
    <w:rsid w:val="00D54993"/>
    <w:rsid w:val="00D55614"/>
    <w:rsid w:val="00D5734B"/>
    <w:rsid w:val="00D62497"/>
    <w:rsid w:val="00D632BF"/>
    <w:rsid w:val="00D64244"/>
    <w:rsid w:val="00D64A1E"/>
    <w:rsid w:val="00D7440B"/>
    <w:rsid w:val="00D80ED7"/>
    <w:rsid w:val="00D8218E"/>
    <w:rsid w:val="00D8327F"/>
    <w:rsid w:val="00D90459"/>
    <w:rsid w:val="00D953A4"/>
    <w:rsid w:val="00D95974"/>
    <w:rsid w:val="00D95BD1"/>
    <w:rsid w:val="00DA41C4"/>
    <w:rsid w:val="00DA5FD6"/>
    <w:rsid w:val="00DA70D1"/>
    <w:rsid w:val="00DA7C8E"/>
    <w:rsid w:val="00DB2602"/>
    <w:rsid w:val="00DB2DFF"/>
    <w:rsid w:val="00DB2F49"/>
    <w:rsid w:val="00DB3A7B"/>
    <w:rsid w:val="00DB500C"/>
    <w:rsid w:val="00DB61A9"/>
    <w:rsid w:val="00DB79AD"/>
    <w:rsid w:val="00DC1920"/>
    <w:rsid w:val="00DC2609"/>
    <w:rsid w:val="00DC7681"/>
    <w:rsid w:val="00DD41FE"/>
    <w:rsid w:val="00DD57A4"/>
    <w:rsid w:val="00DD6CB6"/>
    <w:rsid w:val="00DE1F8A"/>
    <w:rsid w:val="00DE2874"/>
    <w:rsid w:val="00DE72BB"/>
    <w:rsid w:val="00DF1B9C"/>
    <w:rsid w:val="00DF3A4A"/>
    <w:rsid w:val="00DF3BB4"/>
    <w:rsid w:val="00E01BA7"/>
    <w:rsid w:val="00E0241C"/>
    <w:rsid w:val="00E05D44"/>
    <w:rsid w:val="00E11235"/>
    <w:rsid w:val="00E14B2E"/>
    <w:rsid w:val="00E2382B"/>
    <w:rsid w:val="00E26B14"/>
    <w:rsid w:val="00E31F47"/>
    <w:rsid w:val="00E33420"/>
    <w:rsid w:val="00E37D81"/>
    <w:rsid w:val="00E41BE9"/>
    <w:rsid w:val="00E511E9"/>
    <w:rsid w:val="00E515E4"/>
    <w:rsid w:val="00E53D44"/>
    <w:rsid w:val="00E53D6B"/>
    <w:rsid w:val="00E5608A"/>
    <w:rsid w:val="00E564DB"/>
    <w:rsid w:val="00E56F50"/>
    <w:rsid w:val="00E5720D"/>
    <w:rsid w:val="00E66568"/>
    <w:rsid w:val="00E673CE"/>
    <w:rsid w:val="00E81B70"/>
    <w:rsid w:val="00E82E28"/>
    <w:rsid w:val="00E92DA6"/>
    <w:rsid w:val="00E93F80"/>
    <w:rsid w:val="00E94F3F"/>
    <w:rsid w:val="00E9751A"/>
    <w:rsid w:val="00E97DE7"/>
    <w:rsid w:val="00EA71F6"/>
    <w:rsid w:val="00EB3CD8"/>
    <w:rsid w:val="00EB4ED7"/>
    <w:rsid w:val="00EB6D6E"/>
    <w:rsid w:val="00EB7528"/>
    <w:rsid w:val="00EC341E"/>
    <w:rsid w:val="00EC68FE"/>
    <w:rsid w:val="00ED743D"/>
    <w:rsid w:val="00ED7FED"/>
    <w:rsid w:val="00EE1948"/>
    <w:rsid w:val="00EE7882"/>
    <w:rsid w:val="00EF033D"/>
    <w:rsid w:val="00EF58C1"/>
    <w:rsid w:val="00EF5C57"/>
    <w:rsid w:val="00EF5EB4"/>
    <w:rsid w:val="00F018C9"/>
    <w:rsid w:val="00F04D1D"/>
    <w:rsid w:val="00F06F55"/>
    <w:rsid w:val="00F135ED"/>
    <w:rsid w:val="00F1391B"/>
    <w:rsid w:val="00F13EC2"/>
    <w:rsid w:val="00F15E8C"/>
    <w:rsid w:val="00F16749"/>
    <w:rsid w:val="00F2136A"/>
    <w:rsid w:val="00F2659D"/>
    <w:rsid w:val="00F30BBF"/>
    <w:rsid w:val="00F349FE"/>
    <w:rsid w:val="00F35508"/>
    <w:rsid w:val="00F37B1D"/>
    <w:rsid w:val="00F37DDB"/>
    <w:rsid w:val="00F401B0"/>
    <w:rsid w:val="00F407EF"/>
    <w:rsid w:val="00F4529E"/>
    <w:rsid w:val="00F51BB2"/>
    <w:rsid w:val="00F52B29"/>
    <w:rsid w:val="00F52E28"/>
    <w:rsid w:val="00F53166"/>
    <w:rsid w:val="00F57783"/>
    <w:rsid w:val="00F62ED8"/>
    <w:rsid w:val="00F64EE0"/>
    <w:rsid w:val="00F6711A"/>
    <w:rsid w:val="00F712A9"/>
    <w:rsid w:val="00F760B1"/>
    <w:rsid w:val="00F83592"/>
    <w:rsid w:val="00F84606"/>
    <w:rsid w:val="00F84E5D"/>
    <w:rsid w:val="00F918DD"/>
    <w:rsid w:val="00F91F05"/>
    <w:rsid w:val="00F927FA"/>
    <w:rsid w:val="00F979CA"/>
    <w:rsid w:val="00FA2BE2"/>
    <w:rsid w:val="00FB29A0"/>
    <w:rsid w:val="00FB3621"/>
    <w:rsid w:val="00FB3CA4"/>
    <w:rsid w:val="00FB6603"/>
    <w:rsid w:val="00FC0DC7"/>
    <w:rsid w:val="00FC6673"/>
    <w:rsid w:val="00FC7B61"/>
    <w:rsid w:val="00FD0AFA"/>
    <w:rsid w:val="00FD1EC2"/>
    <w:rsid w:val="00FD3BA5"/>
    <w:rsid w:val="00FE2B10"/>
    <w:rsid w:val="00FE43B8"/>
    <w:rsid w:val="00FE62E9"/>
    <w:rsid w:val="00FE7D8E"/>
    <w:rsid w:val="00FF1202"/>
    <w:rsid w:val="00FF34F2"/>
    <w:rsid w:val="00FF383B"/>
    <w:rsid w:val="00FF48DB"/>
    <w:rsid w:val="00FF6009"/>
    <w:rsid w:val="00FF7DF7"/>
    <w:rsid w:val="15104957"/>
    <w:rsid w:val="181976D6"/>
    <w:rsid w:val="541029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autoRedefine/>
    <w:qFormat/>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8324F7-49B3-4899-9709-FCDAB155F7E6}">
  <ds:schemaRefs/>
</ds:datastoreItem>
</file>

<file path=docProps/app.xml><?xml version="1.0" encoding="utf-8"?>
<Properties xmlns="http://schemas.openxmlformats.org/officeDocument/2006/extended-properties" xmlns:vt="http://schemas.openxmlformats.org/officeDocument/2006/docPropsVTypes">
  <Template>Normal</Template>
  <Company>安徽建筑大学</Company>
  <Pages>13</Pages>
  <Words>1090</Words>
  <Characters>6219</Characters>
  <Lines>51</Lines>
  <Paragraphs>14</Paragraphs>
  <TotalTime>98</TotalTime>
  <ScaleCrop>false</ScaleCrop>
  <LinksUpToDate>false</LinksUpToDate>
  <CharactersWithSpaces>7295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2022-09-07T06:45:00Z</dcterms:created>
  <dc:creator>kjczhk</dc:creator>
  <cp:lastModifiedBy>李晓莉</cp:lastModifiedBy>
  <cp:lastPrinted>2023-03-21T08:18:00Z</cp:lastPrinted>
  <dcterms:modified xsi:type="dcterms:W3CDTF">2024-04-02T07:48:08Z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2937F606EC5047CAA708A1047C9FBB4A</vt:lpwstr>
  </property>
</Properties>
</file>