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4FBAD">
      <w:pPr>
        <w:pStyle w:val="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right="0"/>
        <w:textAlignment w:val="auto"/>
        <w:rPr>
          <w:rStyle w:val="7"/>
          <w:rFonts w:hint="eastAsia" w:ascii="宋体" w:hAnsi="宋体" w:eastAsia="宋体" w:cs="宋体"/>
          <w:sz w:val="32"/>
          <w:szCs w:val="32"/>
          <w:lang w:val="en-US" w:eastAsia="zh-CN"/>
        </w:rPr>
      </w:pPr>
      <w:r>
        <w:rPr>
          <w:rStyle w:val="7"/>
          <w:rFonts w:hint="eastAsia" w:ascii="宋体" w:hAnsi="宋体" w:eastAsia="宋体" w:cs="宋体"/>
          <w:sz w:val="32"/>
          <w:szCs w:val="32"/>
          <w:lang w:val="en-US" w:eastAsia="zh-CN"/>
        </w:rPr>
        <w:t>申报说明：</w:t>
      </w:r>
    </w:p>
    <w:p w14:paraId="437A2E46">
      <w:pPr>
        <w:pStyle w:val="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right="0"/>
        <w:textAlignment w:val="auto"/>
        <w:rPr>
          <w:rFonts w:hint="eastAsia" w:ascii="宋体" w:hAnsi="宋体" w:eastAsia="宋体" w:cs="宋体"/>
          <w:sz w:val="24"/>
          <w:szCs w:val="24"/>
        </w:rPr>
      </w:pPr>
      <w:r>
        <w:rPr>
          <w:rStyle w:val="7"/>
          <w:rFonts w:hint="eastAsia" w:ascii="宋体" w:hAnsi="宋体" w:eastAsia="宋体" w:cs="宋体"/>
          <w:sz w:val="24"/>
          <w:szCs w:val="24"/>
        </w:rPr>
        <w:t>申报</w:t>
      </w:r>
      <w:r>
        <w:rPr>
          <w:rStyle w:val="7"/>
          <w:rFonts w:hint="eastAsia" w:ascii="宋体" w:hAnsi="宋体" w:eastAsia="宋体" w:cs="宋体"/>
          <w:sz w:val="24"/>
          <w:szCs w:val="24"/>
          <w:lang w:val="en-US" w:eastAsia="zh-CN"/>
        </w:rPr>
        <w:t>要求</w:t>
      </w:r>
      <w:r>
        <w:rPr>
          <w:rFonts w:hint="eastAsia" w:ascii="宋体" w:hAnsi="宋体" w:eastAsia="宋体" w:cs="宋体"/>
          <w:sz w:val="24"/>
          <w:szCs w:val="24"/>
        </w:rPr>
        <w:t>：同一申报人，在同一批次申报中，仅能选择</w:t>
      </w:r>
      <w:r>
        <w:rPr>
          <w:rFonts w:hint="eastAsia" w:ascii="宋体" w:hAnsi="宋体" w:eastAsia="宋体" w:cs="宋体"/>
          <w:sz w:val="24"/>
          <w:szCs w:val="24"/>
          <w:lang w:val="en-US" w:eastAsia="zh-CN"/>
        </w:rPr>
        <w:t>申报指南</w:t>
      </w:r>
      <w:r>
        <w:rPr>
          <w:rFonts w:hint="eastAsia" w:ascii="宋体" w:hAnsi="宋体" w:eastAsia="宋体" w:cs="宋体"/>
          <w:sz w:val="24"/>
          <w:szCs w:val="24"/>
        </w:rPr>
        <w:t>其中一项指南。</w:t>
      </w:r>
    </w:p>
    <w:p w14:paraId="50331847">
      <w:pPr>
        <w:pStyle w:val="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right="0"/>
        <w:textAlignment w:val="auto"/>
        <w:rPr>
          <w:rFonts w:hint="eastAsia" w:ascii="宋体" w:hAnsi="宋体" w:eastAsia="宋体" w:cs="宋体"/>
          <w:sz w:val="24"/>
          <w:szCs w:val="24"/>
        </w:rPr>
      </w:pPr>
      <w:r>
        <w:rPr>
          <w:rStyle w:val="7"/>
          <w:rFonts w:hint="eastAsia" w:ascii="宋体" w:hAnsi="宋体" w:eastAsia="宋体" w:cs="宋体"/>
          <w:sz w:val="24"/>
          <w:szCs w:val="24"/>
        </w:rPr>
        <w:t>参与</w:t>
      </w:r>
      <w:r>
        <w:rPr>
          <w:rStyle w:val="7"/>
          <w:rFonts w:hint="eastAsia" w:ascii="宋体" w:hAnsi="宋体" w:eastAsia="宋体" w:cs="宋体"/>
          <w:sz w:val="24"/>
          <w:szCs w:val="24"/>
          <w:lang w:val="en-US" w:eastAsia="zh-CN"/>
        </w:rPr>
        <w:t>要求</w:t>
      </w:r>
      <w:r>
        <w:rPr>
          <w:rFonts w:hint="eastAsia" w:ascii="宋体" w:hAnsi="宋体" w:eastAsia="宋体" w:cs="宋体"/>
          <w:sz w:val="24"/>
          <w:szCs w:val="24"/>
        </w:rPr>
        <w:t>：原则上，当前已有在研“星火项目”的</w:t>
      </w:r>
      <w:r>
        <w:rPr>
          <w:rFonts w:hint="eastAsia" w:ascii="宋体" w:hAnsi="宋体" w:eastAsia="宋体" w:cs="宋体"/>
          <w:sz w:val="24"/>
          <w:szCs w:val="24"/>
          <w:lang w:val="en-US" w:eastAsia="zh-CN"/>
        </w:rPr>
        <w:t>专家</w:t>
      </w:r>
      <w:r>
        <w:rPr>
          <w:rFonts w:ascii="宋体" w:hAnsi="宋体" w:eastAsia="宋体" w:cs="宋体"/>
          <w:sz w:val="24"/>
          <w:szCs w:val="24"/>
        </w:rPr>
        <w:t>或团队负责人</w:t>
      </w:r>
      <w:r>
        <w:rPr>
          <w:rFonts w:hint="eastAsia" w:ascii="宋体" w:hAnsi="宋体" w:eastAsia="宋体" w:cs="宋体"/>
          <w:sz w:val="24"/>
          <w:szCs w:val="24"/>
        </w:rPr>
        <w:t>，不得作为负责人参与本批次新指南的申报。</w:t>
      </w:r>
    </w:p>
    <w:p w14:paraId="22DD473C">
      <w:pPr>
        <w:pStyle w:val="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right="0"/>
        <w:textAlignment w:val="auto"/>
        <w:rPr>
          <w:rFonts w:hint="eastAsia" w:ascii="宋体" w:hAnsi="宋体" w:eastAsia="宋体" w:cs="宋体"/>
          <w:sz w:val="24"/>
          <w:szCs w:val="24"/>
        </w:rPr>
      </w:pPr>
      <w:r>
        <w:rPr>
          <w:rStyle w:val="7"/>
          <w:rFonts w:hint="eastAsia" w:ascii="宋体" w:hAnsi="宋体" w:eastAsia="宋体" w:cs="宋体"/>
          <w:sz w:val="24"/>
          <w:szCs w:val="24"/>
        </w:rPr>
        <w:t>意向咨询</w:t>
      </w:r>
      <w:r>
        <w:rPr>
          <w:rFonts w:hint="eastAsia" w:ascii="宋体" w:hAnsi="宋体" w:eastAsia="宋体" w:cs="宋体"/>
          <w:sz w:val="24"/>
          <w:szCs w:val="24"/>
        </w:rPr>
        <w:t>：</w:t>
      </w:r>
      <w:r>
        <w:rPr>
          <w:rFonts w:hint="eastAsia" w:ascii="宋体" w:hAnsi="宋体" w:eastAsia="宋体" w:cs="宋体"/>
          <w:sz w:val="24"/>
          <w:szCs w:val="24"/>
          <w:lang w:val="en-US" w:eastAsia="zh-CN"/>
        </w:rPr>
        <w:t>各指南联系人如下表，有意向可</w:t>
      </w:r>
      <w:r>
        <w:rPr>
          <w:rFonts w:hint="eastAsia" w:ascii="宋体" w:hAnsi="宋体" w:eastAsia="宋体" w:cs="宋体"/>
          <w:sz w:val="24"/>
          <w:szCs w:val="24"/>
        </w:rPr>
        <w:t>咨询和获取更详细的指南内容。</w:t>
      </w:r>
    </w:p>
    <w:p w14:paraId="457D5BC1">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z w:val="36"/>
          <w:szCs w:val="36"/>
          <w:lang w:val="en-US" w:eastAsia="zh-CN"/>
        </w:rPr>
      </w:pPr>
    </w:p>
    <w:tbl>
      <w:tblPr>
        <w:tblStyle w:val="5"/>
        <w:tblW w:w="8638"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479"/>
        <w:gridCol w:w="1850"/>
        <w:gridCol w:w="3108"/>
        <w:gridCol w:w="913"/>
      </w:tblGrid>
      <w:tr w14:paraId="602A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88" w:type="dxa"/>
            <w:vAlign w:val="center"/>
          </w:tcPr>
          <w:p w14:paraId="4D2E2570">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指南</w:t>
            </w:r>
          </w:p>
        </w:tc>
        <w:tc>
          <w:tcPr>
            <w:tcW w:w="1479" w:type="dxa"/>
            <w:vAlign w:val="center"/>
          </w:tcPr>
          <w:p w14:paraId="659FF30B">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组织联系人</w:t>
            </w:r>
          </w:p>
        </w:tc>
        <w:tc>
          <w:tcPr>
            <w:tcW w:w="1850" w:type="dxa"/>
            <w:vAlign w:val="center"/>
          </w:tcPr>
          <w:p w14:paraId="20E9B1E5">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电话</w:t>
            </w:r>
          </w:p>
        </w:tc>
        <w:tc>
          <w:tcPr>
            <w:tcW w:w="3108" w:type="dxa"/>
            <w:vAlign w:val="center"/>
          </w:tcPr>
          <w:p w14:paraId="0A958B72">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邮箱</w:t>
            </w:r>
          </w:p>
        </w:tc>
        <w:tc>
          <w:tcPr>
            <w:tcW w:w="913" w:type="dxa"/>
            <w:vAlign w:val="center"/>
          </w:tcPr>
          <w:p w14:paraId="1A01D96F">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r>
      <w:tr w14:paraId="3D9D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88" w:type="dxa"/>
            <w:vAlign w:val="center"/>
          </w:tcPr>
          <w:p w14:paraId="0B0BE18E">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指南1</w:t>
            </w:r>
          </w:p>
        </w:tc>
        <w:tc>
          <w:tcPr>
            <w:tcW w:w="1479" w:type="dxa"/>
            <w:shd w:val="clear" w:color="auto" w:fill="auto"/>
            <w:vAlign w:val="center"/>
          </w:tcPr>
          <w:p w14:paraId="4456AAFB">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牧汕</w:t>
            </w:r>
          </w:p>
        </w:tc>
        <w:tc>
          <w:tcPr>
            <w:tcW w:w="1850" w:type="dxa"/>
            <w:shd w:val="clear" w:color="auto" w:fill="auto"/>
            <w:vAlign w:val="center"/>
          </w:tcPr>
          <w:p w14:paraId="33A93045">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186 5538 1170</w:t>
            </w:r>
          </w:p>
        </w:tc>
        <w:tc>
          <w:tcPr>
            <w:tcW w:w="3108" w:type="dxa"/>
            <w:shd w:val="clear" w:color="auto" w:fill="auto"/>
            <w:vAlign w:val="center"/>
          </w:tcPr>
          <w:p w14:paraId="5700109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fldChar w:fldCharType="begin"/>
            </w:r>
            <w:r>
              <w:rPr>
                <w:rFonts w:hint="eastAsia" w:ascii="宋体" w:hAnsi="宋体" w:eastAsia="宋体" w:cs="宋体"/>
                <w:b w:val="0"/>
                <w:bCs w:val="0"/>
                <w:sz w:val="24"/>
                <w:szCs w:val="24"/>
                <w:vertAlign w:val="baseline"/>
                <w:lang w:val="en-US" w:eastAsia="zh-CN"/>
              </w:rPr>
              <w:instrText xml:space="preserve"> HYPERLINK "mailto:Fcsxms@163.com63" </w:instrText>
            </w:r>
            <w:r>
              <w:rPr>
                <w:rFonts w:hint="eastAsia" w:ascii="宋体" w:hAnsi="宋体" w:eastAsia="宋体" w:cs="宋体"/>
                <w:b w:val="0"/>
                <w:bCs w:val="0"/>
                <w:sz w:val="24"/>
                <w:szCs w:val="24"/>
                <w:vertAlign w:val="baseline"/>
                <w:lang w:val="en-US" w:eastAsia="zh-CN"/>
              </w:rPr>
              <w:fldChar w:fldCharType="separate"/>
            </w:r>
            <w:r>
              <w:rPr>
                <w:rFonts w:hint="eastAsia" w:ascii="宋体" w:hAnsi="宋体" w:eastAsia="宋体" w:cs="宋体"/>
                <w:b w:val="0"/>
                <w:bCs w:val="0"/>
                <w:sz w:val="24"/>
                <w:szCs w:val="24"/>
                <w:vertAlign w:val="baseline"/>
                <w:lang w:val="en-US" w:eastAsia="zh-CN"/>
              </w:rPr>
              <w:t>fcsxms@163.com</w:t>
            </w:r>
            <w:r>
              <w:rPr>
                <w:rFonts w:hint="eastAsia" w:ascii="宋体" w:hAnsi="宋体" w:eastAsia="宋体" w:cs="宋体"/>
                <w:b w:val="0"/>
                <w:bCs w:val="0"/>
                <w:sz w:val="24"/>
                <w:szCs w:val="24"/>
                <w:vertAlign w:val="baseline"/>
                <w:lang w:val="en-US" w:eastAsia="zh-CN"/>
              </w:rPr>
              <w:fldChar w:fldCharType="end"/>
            </w:r>
          </w:p>
        </w:tc>
        <w:tc>
          <w:tcPr>
            <w:tcW w:w="913" w:type="dxa"/>
            <w:vAlign w:val="center"/>
          </w:tcPr>
          <w:p w14:paraId="39F33ED7">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p>
        </w:tc>
      </w:tr>
      <w:tr w14:paraId="66B3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88" w:type="dxa"/>
            <w:vAlign w:val="center"/>
          </w:tcPr>
          <w:p w14:paraId="19AF20C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指南2</w:t>
            </w:r>
          </w:p>
        </w:tc>
        <w:tc>
          <w:tcPr>
            <w:tcW w:w="1479" w:type="dxa"/>
            <w:shd w:val="clear" w:color="auto" w:fill="auto"/>
            <w:vAlign w:val="center"/>
          </w:tcPr>
          <w:p w14:paraId="2D28DECB">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杨东</w:t>
            </w:r>
          </w:p>
        </w:tc>
        <w:tc>
          <w:tcPr>
            <w:tcW w:w="1850" w:type="dxa"/>
            <w:shd w:val="clear" w:color="auto" w:fill="auto"/>
            <w:vAlign w:val="center"/>
          </w:tcPr>
          <w:p w14:paraId="3F23BA34">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153 0553 8180</w:t>
            </w:r>
          </w:p>
        </w:tc>
        <w:tc>
          <w:tcPr>
            <w:tcW w:w="3108" w:type="dxa"/>
            <w:shd w:val="clear" w:color="auto" w:fill="auto"/>
            <w:vAlign w:val="center"/>
          </w:tcPr>
          <w:p w14:paraId="54C21790">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yangdong3@mychery.com</w:t>
            </w:r>
          </w:p>
        </w:tc>
        <w:tc>
          <w:tcPr>
            <w:tcW w:w="913" w:type="dxa"/>
            <w:vAlign w:val="center"/>
          </w:tcPr>
          <w:p w14:paraId="37D404F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p>
        </w:tc>
      </w:tr>
      <w:tr w14:paraId="12D7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88" w:type="dxa"/>
            <w:vAlign w:val="center"/>
          </w:tcPr>
          <w:p w14:paraId="3A0292E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指南3</w:t>
            </w:r>
          </w:p>
        </w:tc>
        <w:tc>
          <w:tcPr>
            <w:tcW w:w="1479" w:type="dxa"/>
            <w:shd w:val="clear" w:color="auto" w:fill="auto"/>
            <w:vAlign w:val="center"/>
          </w:tcPr>
          <w:p w14:paraId="11D840CB">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史文梅</w:t>
            </w:r>
          </w:p>
        </w:tc>
        <w:tc>
          <w:tcPr>
            <w:tcW w:w="1850" w:type="dxa"/>
            <w:shd w:val="clear" w:color="auto" w:fill="auto"/>
            <w:vAlign w:val="center"/>
          </w:tcPr>
          <w:p w14:paraId="40E554EF">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188 1553 0306</w:t>
            </w:r>
          </w:p>
        </w:tc>
        <w:tc>
          <w:tcPr>
            <w:tcW w:w="3108" w:type="dxa"/>
            <w:shd w:val="clear" w:color="auto" w:fill="auto"/>
            <w:vAlign w:val="center"/>
          </w:tcPr>
          <w:p w14:paraId="2D5C4407">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shiwenmei@mychery.com</w:t>
            </w:r>
          </w:p>
        </w:tc>
        <w:tc>
          <w:tcPr>
            <w:tcW w:w="913" w:type="dxa"/>
            <w:vAlign w:val="center"/>
          </w:tcPr>
          <w:p w14:paraId="36FCE2FA">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p>
        </w:tc>
      </w:tr>
      <w:tr w14:paraId="1E29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88" w:type="dxa"/>
            <w:vAlign w:val="center"/>
          </w:tcPr>
          <w:p w14:paraId="18B594F2">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指南4</w:t>
            </w:r>
          </w:p>
        </w:tc>
        <w:tc>
          <w:tcPr>
            <w:tcW w:w="1479" w:type="dxa"/>
            <w:shd w:val="clear" w:color="auto" w:fill="auto"/>
            <w:vAlign w:val="center"/>
          </w:tcPr>
          <w:p w14:paraId="71A3F3E2">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桂萍萍</w:t>
            </w:r>
          </w:p>
        </w:tc>
        <w:tc>
          <w:tcPr>
            <w:tcW w:w="1850" w:type="dxa"/>
            <w:shd w:val="clear" w:color="auto" w:fill="auto"/>
            <w:vAlign w:val="center"/>
          </w:tcPr>
          <w:p w14:paraId="02EC4B09">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180 3017 5576</w:t>
            </w:r>
          </w:p>
        </w:tc>
        <w:tc>
          <w:tcPr>
            <w:tcW w:w="3108" w:type="dxa"/>
            <w:shd w:val="clear" w:color="auto" w:fill="auto"/>
            <w:vAlign w:val="center"/>
          </w:tcPr>
          <w:p w14:paraId="5E04AC02">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guipingping@mychery.com</w:t>
            </w:r>
          </w:p>
        </w:tc>
        <w:tc>
          <w:tcPr>
            <w:tcW w:w="913" w:type="dxa"/>
            <w:vAlign w:val="center"/>
          </w:tcPr>
          <w:p w14:paraId="2D0664B4">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p>
        </w:tc>
      </w:tr>
      <w:tr w14:paraId="0061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88" w:type="dxa"/>
            <w:vAlign w:val="center"/>
          </w:tcPr>
          <w:p w14:paraId="422C7334">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指南5</w:t>
            </w:r>
          </w:p>
        </w:tc>
        <w:tc>
          <w:tcPr>
            <w:tcW w:w="1479" w:type="dxa"/>
            <w:shd w:val="clear" w:color="auto" w:fill="auto"/>
            <w:vAlign w:val="center"/>
          </w:tcPr>
          <w:p w14:paraId="2B2B7977">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贺玥</w:t>
            </w:r>
          </w:p>
        </w:tc>
        <w:tc>
          <w:tcPr>
            <w:tcW w:w="1850" w:type="dxa"/>
            <w:shd w:val="clear" w:color="auto" w:fill="auto"/>
            <w:vAlign w:val="center"/>
          </w:tcPr>
          <w:p w14:paraId="39406E62">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155 5125 9796</w:t>
            </w:r>
          </w:p>
        </w:tc>
        <w:tc>
          <w:tcPr>
            <w:tcW w:w="3108" w:type="dxa"/>
            <w:shd w:val="clear" w:color="auto" w:fill="auto"/>
            <w:vAlign w:val="center"/>
          </w:tcPr>
          <w:p w14:paraId="67B293D3">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heyue1@mychery.com</w:t>
            </w:r>
          </w:p>
        </w:tc>
        <w:tc>
          <w:tcPr>
            <w:tcW w:w="913" w:type="dxa"/>
            <w:vAlign w:val="center"/>
          </w:tcPr>
          <w:p w14:paraId="0998B6DB">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p>
        </w:tc>
      </w:tr>
      <w:tr w14:paraId="554A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88" w:type="dxa"/>
            <w:vAlign w:val="center"/>
          </w:tcPr>
          <w:p w14:paraId="0D466DF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指南6</w:t>
            </w:r>
          </w:p>
        </w:tc>
        <w:tc>
          <w:tcPr>
            <w:tcW w:w="1479" w:type="dxa"/>
            <w:shd w:val="clear" w:color="auto" w:fill="auto"/>
            <w:vAlign w:val="center"/>
          </w:tcPr>
          <w:p w14:paraId="30D11C94">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张亮</w:t>
            </w:r>
          </w:p>
        </w:tc>
        <w:tc>
          <w:tcPr>
            <w:tcW w:w="1850" w:type="dxa"/>
            <w:shd w:val="clear" w:color="auto" w:fill="auto"/>
            <w:vAlign w:val="center"/>
          </w:tcPr>
          <w:p w14:paraId="29710F3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177 2991 0561</w:t>
            </w:r>
          </w:p>
        </w:tc>
        <w:tc>
          <w:tcPr>
            <w:tcW w:w="3108" w:type="dxa"/>
            <w:shd w:val="clear" w:color="auto" w:fill="auto"/>
            <w:vAlign w:val="center"/>
          </w:tcPr>
          <w:p w14:paraId="43DC475E">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zhangliang10@mychery.com</w:t>
            </w:r>
          </w:p>
        </w:tc>
        <w:tc>
          <w:tcPr>
            <w:tcW w:w="913" w:type="dxa"/>
            <w:vAlign w:val="center"/>
          </w:tcPr>
          <w:p w14:paraId="417D1FD0">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p>
        </w:tc>
      </w:tr>
      <w:tr w14:paraId="1AF6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288" w:type="dxa"/>
            <w:vAlign w:val="center"/>
          </w:tcPr>
          <w:p w14:paraId="56EBD347">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指南7</w:t>
            </w:r>
          </w:p>
        </w:tc>
        <w:tc>
          <w:tcPr>
            <w:tcW w:w="1479" w:type="dxa"/>
            <w:shd w:val="clear" w:color="auto" w:fill="auto"/>
            <w:vAlign w:val="center"/>
          </w:tcPr>
          <w:p w14:paraId="0291B115">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张迅</w:t>
            </w:r>
          </w:p>
        </w:tc>
        <w:tc>
          <w:tcPr>
            <w:tcW w:w="1850" w:type="dxa"/>
            <w:shd w:val="clear" w:color="auto" w:fill="auto"/>
            <w:vAlign w:val="center"/>
          </w:tcPr>
          <w:p w14:paraId="5C5C4156">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152 5530 0826</w:t>
            </w:r>
          </w:p>
        </w:tc>
        <w:tc>
          <w:tcPr>
            <w:tcW w:w="3108" w:type="dxa"/>
            <w:shd w:val="clear" w:color="auto" w:fill="auto"/>
            <w:vAlign w:val="center"/>
          </w:tcPr>
          <w:p w14:paraId="4F0D8FCE">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zhangxun1@mychery.com</w:t>
            </w:r>
          </w:p>
        </w:tc>
        <w:tc>
          <w:tcPr>
            <w:tcW w:w="913" w:type="dxa"/>
            <w:vAlign w:val="center"/>
          </w:tcPr>
          <w:p w14:paraId="308DB711">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p>
        </w:tc>
      </w:tr>
    </w:tbl>
    <w:p w14:paraId="655820C8">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both"/>
        <w:textAlignment w:val="auto"/>
        <w:rPr>
          <w:rFonts w:hint="eastAsia" w:asciiTheme="minorEastAsia" w:hAnsiTheme="minorEastAsia" w:eastAsiaTheme="minorEastAsia" w:cstheme="minorEastAsia"/>
          <w:b w:val="0"/>
          <w:bCs w:val="0"/>
          <w:sz w:val="36"/>
          <w:szCs w:val="36"/>
          <w:lang w:val="en-US" w:eastAsia="zh-CN"/>
        </w:rPr>
        <w:sectPr>
          <w:pgSz w:w="11906" w:h="16838"/>
          <w:pgMar w:top="1440" w:right="1800" w:bottom="1440" w:left="1800" w:header="851" w:footer="992" w:gutter="0"/>
          <w:cols w:space="425" w:num="1"/>
          <w:docGrid w:type="lines" w:linePitch="312" w:charSpace="0"/>
        </w:sectPr>
      </w:pPr>
    </w:p>
    <w:p w14:paraId="3B6CA920">
      <w:pPr>
        <w:tabs>
          <w:tab w:val="left" w:pos="2283"/>
        </w:tabs>
        <w:jc w:val="center"/>
        <w:rPr>
          <w:rFonts w:hint="eastAsia" w:ascii="宋体" w:hAnsi="宋体" w:eastAsia="宋体" w:cs="宋体"/>
          <w:b/>
          <w:bCs/>
          <w:sz w:val="36"/>
          <w:szCs w:val="44"/>
          <w:lang w:val="en-US" w:eastAsia="zh-CN"/>
        </w:rPr>
      </w:pPr>
      <w:r>
        <w:rPr>
          <w:rFonts w:hint="eastAsia" w:ascii="宋体" w:hAnsi="宋体" w:eastAsia="宋体" w:cs="宋体"/>
          <w:b/>
          <w:bCs/>
          <w:sz w:val="36"/>
          <w:szCs w:val="44"/>
          <w:lang w:val="en-US" w:eastAsia="zh-CN"/>
        </w:rPr>
        <w:t>2026年奇瑞开阳实验室星火创新项目</w:t>
      </w:r>
    </w:p>
    <w:p w14:paraId="1E1CA959">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z w:val="36"/>
          <w:szCs w:val="36"/>
          <w:lang w:val="en-US" w:eastAsia="zh-CN"/>
        </w:rPr>
      </w:pPr>
      <w:r>
        <w:rPr>
          <w:rFonts w:hint="eastAsia" w:ascii="宋体" w:hAnsi="宋体" w:eastAsia="宋体" w:cs="宋体"/>
          <w:b/>
          <w:bCs/>
          <w:sz w:val="36"/>
          <w:szCs w:val="44"/>
          <w:lang w:val="en-US" w:eastAsia="zh-CN"/>
        </w:rPr>
        <w:t>申报指南</w:t>
      </w:r>
    </w:p>
    <w:p w14:paraId="5E37551C">
      <w:pPr>
        <w:keepNext w:val="0"/>
        <w:keepLines w:val="0"/>
        <w:pageBreakBefore w:val="0"/>
        <w:kinsoku/>
        <w:wordWrap/>
        <w:overflowPunct/>
        <w:topLinePunct w:val="0"/>
        <w:autoSpaceDE/>
        <w:autoSpaceDN/>
        <w:bidi w:val="0"/>
        <w:adjustRightInd/>
        <w:snapToGrid/>
        <w:spacing w:beforeAutospacing="0" w:afterAutospacing="0" w:line="540" w:lineRule="exact"/>
        <w:textAlignment w:val="auto"/>
        <w:outlineLvl w:val="0"/>
        <w:rPr>
          <w:rFonts w:hint="eastAsia" w:asciiTheme="minorEastAsia" w:hAnsiTheme="minorEastAsia" w:eastAsiaTheme="minorEastAsia" w:cstheme="minorEastAsia"/>
          <w:b/>
          <w:bCs/>
          <w:sz w:val="24"/>
          <w:szCs w:val="24"/>
          <w:lang w:val="en-US" w:eastAsia="zh-CN"/>
        </w:rPr>
      </w:pPr>
    </w:p>
    <w:p w14:paraId="337D7DE8">
      <w:pPr>
        <w:keepNext w:val="0"/>
        <w:keepLines w:val="0"/>
        <w:pageBreakBefore w:val="0"/>
        <w:widowControl w:val="0"/>
        <w:tabs>
          <w:tab w:val="left" w:pos="2283"/>
        </w:tabs>
        <w:kinsoku/>
        <w:wordWrap/>
        <w:overflowPunct/>
        <w:topLinePunct w:val="0"/>
        <w:autoSpaceDE/>
        <w:autoSpaceDN/>
        <w:bidi w:val="0"/>
        <w:adjustRightInd w:val="0"/>
        <w:snapToGrid/>
        <w:spacing w:beforeAutospacing="0" w:afterAutospacing="0" w:line="360" w:lineRule="auto"/>
        <w:ind w:firstLine="482" w:firstLineChars="200"/>
        <w:jc w:val="both"/>
        <w:textAlignment w:val="auto"/>
        <w:outlineLvl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指南</w:t>
      </w:r>
      <w:r>
        <w:rPr>
          <w:rFonts w:hint="eastAsia" w:asciiTheme="minorEastAsia" w:hAnsi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面向超快充和大功率导电、高功率用高可靠性铜基导电端子</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技术开发</w:t>
      </w:r>
    </w:p>
    <w:p w14:paraId="4F952B2B">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发一款可替代现有进口高端产品的车用超快充铜基导电端子。核心技术攻关聚焦于新型铜基材料的组分设计与微观结构调控，重点研发兼具高导电率与高力学性能的端子，优化其力电协同提升机制，并显著改进其在大电流工况下的温升控制与长时服役可靠性。在此基础上，开展端子器件的高电流承载性能测试与服役可靠性验证，形成从材料制备到器件应用的系统级解决方案。同时，对新型铜基端子从原材料到规模化生产的全产业链成本进行深入分析，探索在自动化产线与集采效应下的具体降本途径，论证其相较于现有铜合金端子的经济性优势，为工程化应用与国产化替代提供可行性支撑。</w:t>
      </w:r>
    </w:p>
    <w:p w14:paraId="5D35E861">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技术指标</w:t>
      </w:r>
      <w:r>
        <w:rPr>
          <w:rFonts w:hint="eastAsia" w:asciiTheme="minorEastAsia" w:hAnsiTheme="minorEastAsia" w:eastAsiaTheme="minorEastAsia" w:cstheme="minorEastAsia"/>
          <w:b/>
          <w:bCs/>
          <w:sz w:val="24"/>
          <w:szCs w:val="24"/>
          <w:lang w:val="en-US" w:eastAsia="zh-CN"/>
        </w:rPr>
        <w:t>涵盖</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cstheme="minorEastAsia"/>
          <w:sz w:val="24"/>
          <w:szCs w:val="24"/>
          <w:lang w:eastAsia="zh-CN"/>
        </w:rPr>
        <w:t>新型铜基端子</w:t>
      </w:r>
      <w:r>
        <w:rPr>
          <w:rFonts w:hint="eastAsia" w:asciiTheme="minorEastAsia" w:hAnsiTheme="minorEastAsia" w:eastAsiaTheme="minorEastAsia" w:cstheme="minorEastAsia"/>
          <w:sz w:val="24"/>
          <w:szCs w:val="24"/>
        </w:rPr>
        <w:t>的</w:t>
      </w:r>
      <w:r>
        <w:rPr>
          <w:rFonts w:hint="eastAsia" w:asciiTheme="minorEastAsia" w:hAnsiTheme="minorEastAsia" w:cstheme="minorEastAsia"/>
          <w:sz w:val="24"/>
          <w:szCs w:val="24"/>
          <w:lang w:eastAsia="zh-CN"/>
        </w:rPr>
        <w:t>电学性能</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eastAsia="zh-CN"/>
        </w:rPr>
        <w:t>力学性能</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eastAsia="zh-CN"/>
        </w:rPr>
        <w:t>插拔寿命</w:t>
      </w:r>
      <w:r>
        <w:rPr>
          <w:rFonts w:hint="eastAsia" w:asciiTheme="minorEastAsia" w:hAnsiTheme="minorEastAsia" w:eastAsiaTheme="minorEastAsia" w:cstheme="minorEastAsia"/>
          <w:sz w:val="24"/>
          <w:szCs w:val="24"/>
        </w:rPr>
        <w:t>及相比现有方案的成本优势。</w:t>
      </w:r>
    </w:p>
    <w:p w14:paraId="69D2E79A">
      <w:pPr>
        <w:keepNext w:val="0"/>
        <w:keepLines w:val="0"/>
        <w:pageBreakBefore w:val="0"/>
        <w:kinsoku/>
        <w:wordWrap/>
        <w:overflowPunct/>
        <w:topLinePunct w:val="0"/>
        <w:autoSpaceDE/>
        <w:autoSpaceDN/>
        <w:bidi w:val="0"/>
        <w:adjustRightInd/>
        <w:snapToGrid/>
        <w:spacing w:beforeAutospacing="0" w:afterAutospacing="0" w:line="560" w:lineRule="exact"/>
        <w:ind w:firstLine="482" w:firstLineChars="200"/>
        <w:textAlignment w:val="auto"/>
        <w:rPr>
          <w:rFonts w:hint="eastAsia" w:asciiTheme="minorEastAsia" w:hAnsiTheme="minorEastAsia" w:eastAsiaTheme="minorEastAsia" w:cstheme="minorEastAsia"/>
          <w:b/>
          <w:bCs/>
          <w:sz w:val="24"/>
          <w:szCs w:val="24"/>
          <w:lang w:val="en-US" w:eastAsia="zh-CN"/>
        </w:rPr>
      </w:pPr>
    </w:p>
    <w:p w14:paraId="3243DB80">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指南</w:t>
      </w: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val="en-US" w:eastAsia="zh-CN"/>
        </w:rPr>
        <w:t>：基于AI模型的轮式双臂机器人底盘和双臂协同作业研究</w:t>
      </w:r>
    </w:p>
    <w:p w14:paraId="0DEFB9B5">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面向物料箱搬运场景，开发具身AI模型驱动的底盘与双臂协同控制系统，实现移动中抓取与姿态调节。融合多传感器（激光雷达、RGBD、超声波）的SLAM与语义导航，保证动态环境下定位与避障；研究七自由度冗余双臂协同规划与力位柔顺控制，实现狭小空间防碰撞与精密操作；采用分层式智能决策架构（高层语义理解与底层实时控制结合），基于工业数据与强化学习持续优化模型。</w:t>
      </w:r>
    </w:p>
    <w:p w14:paraId="0C6C4E08">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i w:val="0"/>
          <w:iCs w:val="0"/>
          <w:caps w:val="0"/>
          <w:color w:val="0F1115"/>
          <w:spacing w:val="0"/>
          <w:sz w:val="24"/>
          <w:szCs w:val="24"/>
          <w:shd w:val="clear" w:fill="FFFFFF"/>
        </w:rPr>
      </w:pPr>
      <w:r>
        <w:rPr>
          <w:rFonts w:hint="eastAsia" w:asciiTheme="minorEastAsia" w:hAnsiTheme="minorEastAsia" w:eastAsiaTheme="minorEastAsia" w:cstheme="minorEastAsia"/>
          <w:b/>
          <w:bCs/>
          <w:sz w:val="24"/>
          <w:szCs w:val="24"/>
        </w:rPr>
        <w:t>技术指标</w:t>
      </w:r>
      <w:r>
        <w:rPr>
          <w:rFonts w:hint="eastAsia" w:asciiTheme="minorEastAsia" w:hAnsiTheme="minorEastAsia" w:eastAsiaTheme="minorEastAsia" w:cstheme="minorEastAsia"/>
          <w:b/>
          <w:bCs/>
          <w:sz w:val="24"/>
          <w:szCs w:val="24"/>
          <w:lang w:val="en-US" w:eastAsia="zh-CN"/>
        </w:rPr>
        <w:t>涵盖</w:t>
      </w:r>
      <w:r>
        <w:rPr>
          <w:rFonts w:hint="eastAsia" w:asciiTheme="minorEastAsia" w:hAnsiTheme="minorEastAsia" w:eastAsiaTheme="minorEastAsia" w:cstheme="minorEastAsia"/>
          <w:b/>
          <w:bCs/>
          <w:sz w:val="24"/>
          <w:szCs w:val="24"/>
          <w:highlight w:val="none"/>
          <w:lang w:val="en-US" w:eastAsia="zh-CN"/>
        </w:rPr>
        <w:t>：</w:t>
      </w:r>
      <w:r>
        <w:rPr>
          <w:rFonts w:ascii="Segoe UI" w:hAnsi="Segoe UI" w:eastAsia="Segoe UI" w:cs="Segoe UI"/>
          <w:i w:val="0"/>
          <w:iCs w:val="0"/>
          <w:caps w:val="0"/>
          <w:color w:val="0F1115"/>
          <w:spacing w:val="0"/>
          <w:sz w:val="24"/>
          <w:szCs w:val="24"/>
          <w:shd w:val="clear" w:fill="FFFFFF"/>
        </w:rPr>
        <w:t>移动抓取成功率及作业节拍满足目标要求</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提交</w:t>
      </w:r>
      <w:r>
        <w:rPr>
          <w:rFonts w:hint="eastAsia" w:ascii="宋体" w:hAnsi="宋体" w:eastAsia="宋体" w:cs="宋体"/>
          <w:i w:val="0"/>
          <w:iCs w:val="0"/>
          <w:caps w:val="0"/>
          <w:color w:val="0F1115"/>
          <w:spacing w:val="0"/>
          <w:sz w:val="24"/>
          <w:szCs w:val="24"/>
          <w:shd w:val="clear" w:fill="FFFFFF"/>
        </w:rPr>
        <w:t>技术方案、专利、论文、系统演示及代码</w:t>
      </w:r>
      <w:r>
        <w:rPr>
          <w:rFonts w:hint="eastAsia" w:ascii="宋体" w:hAnsi="宋体" w:eastAsia="宋体" w:cs="宋体"/>
          <w:i w:val="0"/>
          <w:iCs w:val="0"/>
          <w:caps w:val="0"/>
          <w:color w:val="0F1115"/>
          <w:spacing w:val="0"/>
          <w:sz w:val="24"/>
          <w:szCs w:val="24"/>
          <w:shd w:val="clear" w:fill="FFFFFF"/>
          <w:lang w:val="en-US" w:eastAsia="zh-CN"/>
        </w:rPr>
        <w:t>等</w:t>
      </w:r>
      <w:r>
        <w:rPr>
          <w:rFonts w:hint="eastAsia" w:ascii="宋体" w:hAnsi="宋体" w:eastAsia="宋体" w:cs="宋体"/>
          <w:i w:val="0"/>
          <w:iCs w:val="0"/>
          <w:caps w:val="0"/>
          <w:color w:val="0F1115"/>
          <w:spacing w:val="0"/>
          <w:sz w:val="24"/>
          <w:szCs w:val="24"/>
          <w:shd w:val="clear" w:fill="FFFFFF"/>
        </w:rPr>
        <w:t>。</w:t>
      </w:r>
    </w:p>
    <w:p w14:paraId="0D97B456">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F1115"/>
          <w:spacing w:val="0"/>
          <w:sz w:val="24"/>
          <w:szCs w:val="24"/>
          <w:shd w:val="clear" w:fill="FFFFFF"/>
        </w:rPr>
      </w:pPr>
    </w:p>
    <w:p w14:paraId="4657DA6F">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指南</w:t>
      </w:r>
      <w:r>
        <w:rPr>
          <w:rFonts w:hint="eastAsia" w:asciiTheme="minorEastAsia" w:hAnsiTheme="minorEastAsia" w:cstheme="minorEastAsia"/>
          <w:b/>
          <w:bCs/>
          <w:sz w:val="24"/>
          <w:szCs w:val="24"/>
          <w:lang w:val="en-US" w:eastAsia="zh-CN"/>
        </w:rPr>
        <w:t>3</w:t>
      </w:r>
      <w:r>
        <w:rPr>
          <w:rFonts w:hint="eastAsia" w:asciiTheme="minorEastAsia" w:hAnsiTheme="minorEastAsia" w:eastAsiaTheme="minorEastAsia" w:cstheme="minorEastAsia"/>
          <w:b/>
          <w:bCs/>
          <w:sz w:val="24"/>
          <w:szCs w:val="24"/>
          <w:lang w:val="en-US" w:eastAsia="zh-CN"/>
        </w:rPr>
        <w:t>：</w:t>
      </w:r>
      <w:r>
        <w:rPr>
          <w:rFonts w:ascii="宋体" w:hAnsi="宋体" w:eastAsia="宋体" w:cs="宋体"/>
          <w:b/>
          <w:bCs/>
          <w:color w:val="000000" w:themeColor="text1"/>
          <w:sz w:val="24"/>
          <w14:textFill>
            <w14:solidFill>
              <w14:schemeClr w14:val="tx1"/>
            </w14:solidFill>
          </w14:textFill>
        </w:rPr>
        <w:t>面向具身操作基础模型训练的、scalable的人类操作视频采集系统</w:t>
      </w:r>
    </w:p>
    <w:p w14:paraId="1467F950">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Segoe UI" w:hAnsi="Segoe UI" w:eastAsia="Segoe UI" w:cs="Segoe UI"/>
          <w:i w:val="0"/>
          <w:iCs w:val="0"/>
          <w:caps w:val="0"/>
          <w:color w:val="0F1115"/>
          <w:spacing w:val="0"/>
          <w:sz w:val="24"/>
          <w:szCs w:val="24"/>
          <w:shd w:val="clear" w:fill="FFFFFF"/>
        </w:rPr>
      </w:pPr>
      <w:r>
        <w:rPr>
          <w:rFonts w:ascii="Segoe UI" w:hAnsi="Segoe UI" w:eastAsia="Segoe UI" w:cs="Segoe UI"/>
          <w:i w:val="0"/>
          <w:iCs w:val="0"/>
          <w:caps w:val="0"/>
          <w:color w:val="0F1115"/>
          <w:spacing w:val="0"/>
          <w:sz w:val="24"/>
          <w:szCs w:val="24"/>
          <w:shd w:val="clear" w:fill="FFFFFF"/>
        </w:rPr>
        <w:t>面向具身基础模型训练数据需求，构建低硬件依赖、场景无关的视频采集系统，利用智能手机等简化设备，降低采集成本与复杂度。研究内容包括轻量化采集方法、视频到机器人动作迁移算法，以及数据质量验证平台。</w:t>
      </w:r>
    </w:p>
    <w:p w14:paraId="216DCD65">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技术指标</w:t>
      </w:r>
      <w:r>
        <w:rPr>
          <w:rFonts w:hint="eastAsia" w:asciiTheme="minorEastAsia" w:hAnsiTheme="minorEastAsia" w:eastAsiaTheme="minorEastAsia" w:cstheme="minorEastAsia"/>
          <w:b/>
          <w:bCs/>
          <w:sz w:val="24"/>
          <w:szCs w:val="24"/>
          <w:lang w:val="en-US" w:eastAsia="zh-CN"/>
        </w:rPr>
        <w:t>涵盖</w:t>
      </w:r>
      <w:r>
        <w:rPr>
          <w:rFonts w:hint="eastAsia" w:asciiTheme="minorEastAsia" w:hAnsiTheme="minorEastAsia" w:eastAsiaTheme="minorEastAsia" w:cstheme="minorEastAsia"/>
          <w:b/>
          <w:bCs/>
          <w:sz w:val="24"/>
          <w:szCs w:val="24"/>
          <w:highlight w:val="none"/>
          <w:lang w:val="en-US" w:eastAsia="zh-CN"/>
        </w:rPr>
        <w:t>：</w:t>
      </w:r>
      <w:r>
        <w:rPr>
          <w:rFonts w:ascii="Segoe UI" w:hAnsi="Segoe UI" w:eastAsia="Segoe UI" w:cs="Segoe UI"/>
          <w:i w:val="0"/>
          <w:iCs w:val="0"/>
          <w:caps w:val="0"/>
          <w:color w:val="0F1115"/>
          <w:spacing w:val="0"/>
          <w:sz w:val="24"/>
          <w:szCs w:val="24"/>
          <w:shd w:val="clear" w:fill="FFFFFF"/>
        </w:rPr>
        <w:t>采集效率、数据质量及采集成本等满足目标要求</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提交</w:t>
      </w:r>
      <w:r>
        <w:rPr>
          <w:rFonts w:ascii="Segoe UI" w:hAnsi="Segoe UI" w:eastAsia="Segoe UI" w:cs="Segoe UI"/>
          <w:i w:val="0"/>
          <w:iCs w:val="0"/>
          <w:caps w:val="0"/>
          <w:color w:val="0F1115"/>
          <w:spacing w:val="0"/>
          <w:sz w:val="24"/>
          <w:szCs w:val="24"/>
          <w:shd w:val="clear" w:fill="FFFFFF"/>
        </w:rPr>
        <w:t>技术方案文档、发明专利、论文、采集系统及配套软件代码</w:t>
      </w:r>
      <w:r>
        <w:rPr>
          <w:rFonts w:hint="eastAsia" w:ascii="宋体" w:hAnsi="宋体" w:eastAsia="宋体" w:cs="宋体"/>
          <w:i w:val="0"/>
          <w:iCs w:val="0"/>
          <w:caps w:val="0"/>
          <w:color w:val="0F1115"/>
          <w:spacing w:val="0"/>
          <w:sz w:val="24"/>
          <w:szCs w:val="24"/>
          <w:shd w:val="clear" w:fill="FFFFFF"/>
          <w:lang w:val="en-US" w:eastAsia="zh-CN"/>
        </w:rPr>
        <w:t>等</w:t>
      </w:r>
      <w:r>
        <w:rPr>
          <w:rFonts w:hint="eastAsia" w:ascii="宋体" w:hAnsi="宋体" w:eastAsia="宋体" w:cs="宋体"/>
          <w:i w:val="0"/>
          <w:iCs w:val="0"/>
          <w:caps w:val="0"/>
          <w:color w:val="0F1115"/>
          <w:spacing w:val="0"/>
          <w:sz w:val="24"/>
          <w:szCs w:val="24"/>
          <w:shd w:val="clear" w:fill="FFFFFF"/>
        </w:rPr>
        <w:t>。</w:t>
      </w:r>
    </w:p>
    <w:p w14:paraId="0D38437B">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p>
    <w:p w14:paraId="6AEC000C">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指南4</w:t>
      </w:r>
      <w:r>
        <w:rPr>
          <w:rFonts w:hint="eastAsia" w:asciiTheme="minorEastAsia" w:hAnsiTheme="minorEastAsia" w:eastAsiaTheme="minorEastAsia" w:cstheme="minorEastAsia"/>
          <w:b/>
          <w:bCs/>
          <w:sz w:val="24"/>
          <w:szCs w:val="24"/>
          <w:lang w:val="en-US" w:eastAsia="zh-CN"/>
        </w:rPr>
        <w:t>：基于世界模型的具身智能体技能自发现技术研究</w:t>
      </w:r>
    </w:p>
    <w:p w14:paraId="060520E4">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Segoe UI" w:hAnsi="Segoe UI" w:eastAsia="Segoe UI" w:cs="Segoe UI"/>
          <w:i w:val="0"/>
          <w:iCs w:val="0"/>
          <w:caps w:val="0"/>
          <w:color w:val="0F1115"/>
          <w:spacing w:val="0"/>
          <w:sz w:val="24"/>
          <w:szCs w:val="24"/>
          <w:shd w:val="clear" w:fill="FFFFFF"/>
        </w:rPr>
      </w:pPr>
      <w:r>
        <w:rPr>
          <w:rFonts w:ascii="Segoe UI" w:hAnsi="Segoe UI" w:eastAsia="Segoe UI" w:cs="Segoe UI"/>
          <w:i w:val="0"/>
          <w:iCs w:val="0"/>
          <w:caps w:val="0"/>
          <w:color w:val="0F1115"/>
          <w:spacing w:val="0"/>
          <w:sz w:val="24"/>
          <w:szCs w:val="24"/>
          <w:shd w:val="clear" w:fill="FFFFFF"/>
        </w:rPr>
        <w:t>面向技能库静态匮乏问题，构建轻量级视频扩散世界模型，实现新技能的自主发现与演化。研究内容包括：异构机体适用的多模态世界模型通用架构，实现动作后果的视觉与物理预测；语义驱动的技能演化与自主评价机制，基于视觉语言模型进行任务评估与动作筛选；演化技能的策略蒸馏与跨平台实机迁移技术，实现从仿真到实机的部署。</w:t>
      </w:r>
    </w:p>
    <w:p w14:paraId="1F3C2E33">
      <w:pPr>
        <w:keepNext w:val="0"/>
        <w:keepLines w:val="0"/>
        <w:pageBreakBefore w:val="0"/>
        <w:kinsoku/>
        <w:wordWrap/>
        <w:overflowPunct/>
        <w:topLinePunct w:val="0"/>
        <w:autoSpaceDE/>
        <w:autoSpaceDN/>
        <w:bidi w:val="0"/>
        <w:adjustRightInd/>
        <w:snapToGrid/>
        <w:spacing w:beforeAutospacing="0" w:afterAutospacing="0" w:line="56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技术指标</w:t>
      </w:r>
      <w:r>
        <w:rPr>
          <w:rFonts w:hint="eastAsia" w:asciiTheme="minorEastAsia" w:hAnsiTheme="minorEastAsia" w:eastAsiaTheme="minorEastAsia" w:cstheme="minorEastAsia"/>
          <w:b/>
          <w:bCs/>
          <w:sz w:val="24"/>
          <w:szCs w:val="24"/>
          <w:lang w:val="en-US" w:eastAsia="zh-CN"/>
        </w:rPr>
        <w:t>涵盖</w:t>
      </w:r>
      <w:r>
        <w:rPr>
          <w:rFonts w:hint="eastAsia" w:asciiTheme="minorEastAsia" w:hAnsiTheme="minorEastAsia" w:eastAsiaTheme="minorEastAsia" w:cstheme="minorEastAsia"/>
          <w:b/>
          <w:bCs/>
          <w:sz w:val="24"/>
          <w:szCs w:val="24"/>
          <w:highlight w:val="none"/>
          <w:lang w:val="en-US" w:eastAsia="zh-CN"/>
        </w:rPr>
        <w:t>：</w:t>
      </w:r>
      <w:r>
        <w:rPr>
          <w:rFonts w:ascii="Segoe UI" w:hAnsi="Segoe UI" w:eastAsia="Segoe UI" w:cs="Segoe UI"/>
          <w:i w:val="0"/>
          <w:iCs w:val="0"/>
          <w:caps w:val="0"/>
          <w:color w:val="0F1115"/>
          <w:spacing w:val="0"/>
          <w:sz w:val="24"/>
          <w:szCs w:val="24"/>
          <w:shd w:val="clear" w:fill="FFFFFF"/>
        </w:rPr>
        <w:t>状态预测精度、迁移适应性、奖励生成一致性、技能演化与实机迁移成功率及开发效率等满足目标要求</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提交</w:t>
      </w:r>
      <w:r>
        <w:rPr>
          <w:rFonts w:ascii="Segoe UI" w:hAnsi="Segoe UI" w:eastAsia="Segoe UI" w:cs="Segoe UI"/>
          <w:i w:val="0"/>
          <w:iCs w:val="0"/>
          <w:caps w:val="0"/>
          <w:color w:val="0F1115"/>
          <w:spacing w:val="0"/>
          <w:sz w:val="24"/>
          <w:szCs w:val="24"/>
          <w:shd w:val="clear" w:fill="FFFFFF"/>
        </w:rPr>
        <w:t>技术方案文档、发明专利、论文、仿真或真机演示系统及软件代码</w:t>
      </w:r>
      <w:r>
        <w:rPr>
          <w:rFonts w:hint="eastAsia" w:ascii="宋体" w:hAnsi="宋体" w:eastAsia="宋体" w:cs="宋体"/>
          <w:i w:val="0"/>
          <w:iCs w:val="0"/>
          <w:caps w:val="0"/>
          <w:color w:val="0F1115"/>
          <w:spacing w:val="0"/>
          <w:sz w:val="24"/>
          <w:szCs w:val="24"/>
          <w:shd w:val="clear" w:fill="FFFFFF"/>
          <w:lang w:val="en-US" w:eastAsia="zh-CN"/>
        </w:rPr>
        <w:t>等</w:t>
      </w:r>
      <w:r>
        <w:rPr>
          <w:rFonts w:hint="eastAsia" w:ascii="宋体" w:hAnsi="宋体" w:eastAsia="宋体" w:cs="宋体"/>
          <w:i w:val="0"/>
          <w:iCs w:val="0"/>
          <w:caps w:val="0"/>
          <w:color w:val="0F1115"/>
          <w:spacing w:val="0"/>
          <w:sz w:val="24"/>
          <w:szCs w:val="24"/>
          <w:shd w:val="clear" w:fill="FFFFFF"/>
        </w:rPr>
        <w:t>。</w:t>
      </w:r>
    </w:p>
    <w:p w14:paraId="73A46EE9">
      <w:pPr>
        <w:keepNext w:val="0"/>
        <w:keepLines w:val="0"/>
        <w:pageBreakBefore w:val="0"/>
        <w:kinsoku/>
        <w:wordWrap/>
        <w:overflowPunct/>
        <w:topLinePunct w:val="0"/>
        <w:autoSpaceDE/>
        <w:autoSpaceDN/>
        <w:bidi w:val="0"/>
        <w:adjustRightInd/>
        <w:snapToGrid/>
        <w:spacing w:beforeAutospacing="0" w:afterAutospacing="0" w:line="560" w:lineRule="exact"/>
        <w:ind w:firstLine="482" w:firstLineChars="200"/>
        <w:textAlignment w:val="auto"/>
        <w:rPr>
          <w:rFonts w:hint="eastAsia" w:asciiTheme="minorEastAsia" w:hAnsiTheme="minorEastAsia" w:eastAsiaTheme="minorEastAsia" w:cstheme="minorEastAsia"/>
          <w:b/>
          <w:bCs/>
          <w:sz w:val="24"/>
          <w:szCs w:val="24"/>
          <w:lang w:val="en-US" w:eastAsia="zh-CN"/>
        </w:rPr>
      </w:pPr>
    </w:p>
    <w:p w14:paraId="7F7D60F0">
      <w:pPr>
        <w:keepNext w:val="0"/>
        <w:keepLines w:val="0"/>
        <w:pageBreakBefore w:val="0"/>
        <w:tabs>
          <w:tab w:val="left" w:pos="2283"/>
        </w:tabs>
        <w:kinsoku/>
        <w:wordWrap/>
        <w:overflowPunct/>
        <w:topLinePunct w:val="0"/>
        <w:autoSpaceDE/>
        <w:autoSpaceDN/>
        <w:bidi w:val="0"/>
        <w:adjustRightInd/>
        <w:snapToGrid/>
        <w:spacing w:beforeAutospacing="0" w:afterAutospacing="0" w:line="360" w:lineRule="auto"/>
        <w:ind w:firstLine="482" w:firstLineChars="200"/>
        <w:jc w:val="both"/>
        <w:textAlignment w:val="auto"/>
        <w:outlineLvl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指南</w:t>
      </w:r>
      <w:r>
        <w:rPr>
          <w:rFonts w:hint="eastAsia" w:asciiTheme="minorEastAsia" w:hAnsi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val="en-US" w:eastAsia="zh-CN"/>
        </w:rPr>
        <w:t>：</w:t>
      </w:r>
      <w:r>
        <w:rPr>
          <w:rFonts w:hint="eastAsia" w:ascii="宋体" w:hAnsi="宋体" w:eastAsia="宋体" w:cs="宋体"/>
          <w:b/>
          <w:bCs/>
          <w:sz w:val="24"/>
          <w:szCs w:val="24"/>
          <w:lang w:val="en-US" w:eastAsia="zh-CN"/>
        </w:rPr>
        <w:t>超低混动发动机2阶振动的主动减振技术研究</w:t>
      </w:r>
    </w:p>
    <w:p w14:paraId="62D44A56">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开发一项适用混合动力汽车在特定发动机转速范围具有更高隔振率的主动减振技术及系统</w:t>
      </w:r>
      <w:r>
        <w:rPr>
          <w:rFonts w:hint="eastAsia" w:asciiTheme="minorEastAsia" w:hAnsiTheme="minorEastAsia" w:eastAsiaTheme="minorEastAsia" w:cstheme="minorEastAsia"/>
          <w:sz w:val="24"/>
          <w:szCs w:val="24"/>
        </w:rPr>
        <w:t>。重点研发具有高</w:t>
      </w:r>
      <w:r>
        <w:rPr>
          <w:rFonts w:hint="eastAsia" w:asciiTheme="minorEastAsia" w:hAnsiTheme="minorEastAsia" w:cstheme="minorEastAsia"/>
          <w:sz w:val="24"/>
          <w:szCs w:val="24"/>
          <w:lang w:val="en-US" w:eastAsia="zh-CN"/>
        </w:rPr>
        <w:t>隔振率</w:t>
      </w:r>
      <w:r>
        <w:rPr>
          <w:rFonts w:hint="eastAsia" w:asciiTheme="minorEastAsia" w:hAnsiTheme="minorEastAsia" w:eastAsiaTheme="minorEastAsia" w:cstheme="minorEastAsia"/>
          <w:sz w:val="24"/>
          <w:szCs w:val="24"/>
        </w:rPr>
        <w:t>和</w:t>
      </w:r>
      <w:r>
        <w:rPr>
          <w:rFonts w:hint="eastAsia" w:asciiTheme="minorEastAsia" w:hAnsiTheme="minorEastAsia" w:cstheme="minorEastAsia"/>
          <w:sz w:val="24"/>
          <w:szCs w:val="24"/>
          <w:lang w:val="en-US" w:eastAsia="zh-CN"/>
        </w:rPr>
        <w:t>低时延</w:t>
      </w:r>
      <w:r>
        <w:rPr>
          <w:rFonts w:hint="eastAsia" w:asciiTheme="minorEastAsia" w:hAnsiTheme="minorEastAsia" w:eastAsiaTheme="minorEastAsia" w:cstheme="minorEastAsia"/>
          <w:sz w:val="24"/>
          <w:szCs w:val="24"/>
        </w:rPr>
        <w:t>的</w:t>
      </w:r>
      <w:r>
        <w:rPr>
          <w:rFonts w:hint="eastAsia" w:asciiTheme="minorEastAsia" w:hAnsiTheme="minorEastAsia" w:cstheme="minorEastAsia"/>
          <w:sz w:val="24"/>
          <w:szCs w:val="24"/>
          <w:lang w:val="en-US" w:eastAsia="zh-CN"/>
        </w:rPr>
        <w:t>主动减振算法及其系统</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实现</w:t>
      </w:r>
      <w:r>
        <w:rPr>
          <w:rFonts w:hint="eastAsia" w:ascii="宋体" w:hAnsi="宋体" w:eastAsia="宋体" w:cs="宋体"/>
          <w:sz w:val="24"/>
          <w:szCs w:val="24"/>
          <w:lang w:val="en-US" w:eastAsia="zh-CN"/>
        </w:rPr>
        <w:t>对发动机振动的实时消除或隔离，从而消除车内轰鸣声</w:t>
      </w:r>
      <w:r>
        <w:rPr>
          <w:rFonts w:hint="eastAsia" w:asciiTheme="minorEastAsia" w:hAnsiTheme="minorEastAsia" w:eastAsiaTheme="minorEastAsia" w:cstheme="minorEastAsia"/>
          <w:sz w:val="24"/>
          <w:szCs w:val="24"/>
        </w:rPr>
        <w:t>。系统满足整车布置要求</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探索在规模化生产效应下</w:t>
      </w:r>
      <w:r>
        <w:rPr>
          <w:rFonts w:hint="eastAsia" w:asciiTheme="minorEastAsia" w:hAnsiTheme="minorEastAsia" w:cstheme="minorEastAsia"/>
          <w:sz w:val="24"/>
          <w:szCs w:val="24"/>
          <w:lang w:val="en-US" w:eastAsia="zh-CN"/>
        </w:rPr>
        <w:t>的高低温环境下的性能稳定性，</w:t>
      </w:r>
      <w:r>
        <w:rPr>
          <w:rFonts w:hint="eastAsia" w:asciiTheme="minorEastAsia" w:hAnsiTheme="minorEastAsia" w:eastAsiaTheme="minorEastAsia" w:cstheme="minorEastAsia"/>
          <w:sz w:val="24"/>
          <w:szCs w:val="24"/>
        </w:rPr>
        <w:t>论证其相较于现有技术路线的经济性优势，为工程化应用提供可行性支撑。</w:t>
      </w:r>
    </w:p>
    <w:p w14:paraId="21E7346A">
      <w:pPr>
        <w:keepNext w:val="0"/>
        <w:keepLines w:val="0"/>
        <w:pageBreakBefore w:val="0"/>
        <w:kinsoku/>
        <w:wordWrap/>
        <w:overflowPunct/>
        <w:topLinePunct w:val="0"/>
        <w:autoSpaceDE/>
        <w:autoSpaceDN/>
        <w:bidi w:val="0"/>
        <w:adjustRightInd/>
        <w:snapToGrid/>
        <w:spacing w:beforeAutospacing="0" w:afterAutospacing="0" w:line="560" w:lineRule="exact"/>
        <w:ind w:firstLine="482"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rPr>
        <w:t>技术指标</w:t>
      </w:r>
      <w:r>
        <w:rPr>
          <w:rFonts w:hint="eastAsia" w:asciiTheme="minorEastAsia" w:hAnsiTheme="minorEastAsia" w:eastAsiaTheme="minorEastAsia" w:cstheme="minorEastAsia"/>
          <w:b/>
          <w:bCs/>
          <w:sz w:val="24"/>
          <w:szCs w:val="24"/>
          <w:lang w:val="en-US" w:eastAsia="zh-CN"/>
        </w:rPr>
        <w:t>涵盖</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cstheme="minorEastAsia"/>
          <w:b w:val="0"/>
          <w:bCs w:val="0"/>
          <w:sz w:val="24"/>
          <w:szCs w:val="24"/>
          <w:highlight w:val="none"/>
          <w:lang w:val="en-US" w:eastAsia="zh-CN"/>
        </w:rPr>
        <w:t>隔振率、减振频率带宽、延时、高低温性能衰减、</w:t>
      </w:r>
      <w:r>
        <w:rPr>
          <w:rFonts w:hint="eastAsia" w:asciiTheme="minorEastAsia" w:hAnsiTheme="minorEastAsia" w:eastAsiaTheme="minorEastAsia" w:cstheme="minorEastAsia"/>
          <w:b w:val="0"/>
          <w:bCs w:val="0"/>
          <w:sz w:val="24"/>
          <w:szCs w:val="24"/>
        </w:rPr>
        <w:t>系统的关键尺寸及相比现有方案的成本优势。</w:t>
      </w:r>
    </w:p>
    <w:p w14:paraId="4D493198">
      <w:pPr>
        <w:keepNext w:val="0"/>
        <w:keepLines w:val="0"/>
        <w:pageBreakBefore w:val="0"/>
        <w:tabs>
          <w:tab w:val="left" w:pos="2283"/>
        </w:tabs>
        <w:kinsoku/>
        <w:wordWrap/>
        <w:overflowPunct/>
        <w:topLinePunct w:val="0"/>
        <w:autoSpaceDE/>
        <w:autoSpaceDN/>
        <w:bidi w:val="0"/>
        <w:adjustRightInd/>
        <w:snapToGrid/>
        <w:spacing w:beforeAutospacing="0" w:afterAutospacing="0" w:line="560" w:lineRule="exact"/>
        <w:ind w:firstLine="482" w:firstLineChars="200"/>
        <w:jc w:val="both"/>
        <w:textAlignment w:val="auto"/>
        <w:outlineLvl w:val="0"/>
        <w:rPr>
          <w:rFonts w:hint="eastAsia" w:asciiTheme="minorEastAsia" w:hAnsiTheme="minorEastAsia" w:eastAsiaTheme="minorEastAsia" w:cstheme="minorEastAsia"/>
          <w:b/>
          <w:bCs/>
          <w:sz w:val="24"/>
          <w:szCs w:val="24"/>
          <w:lang w:val="en-US" w:eastAsia="zh-CN"/>
        </w:rPr>
      </w:pPr>
    </w:p>
    <w:p w14:paraId="36330C27">
      <w:pPr>
        <w:tabs>
          <w:tab w:val="left" w:pos="2283"/>
        </w:tabs>
        <w:spacing w:line="360" w:lineRule="auto"/>
        <w:ind w:firstLine="482" w:firstLineChars="200"/>
        <w:outlineLvl w:val="0"/>
        <w:rPr>
          <w:rFonts w:asciiTheme="minorEastAsia" w:hAnsiTheme="minorEastAsia" w:cstheme="minorEastAsia"/>
          <w:b/>
          <w:bCs/>
          <w:sz w:val="24"/>
        </w:rPr>
      </w:pPr>
      <w:r>
        <w:rPr>
          <w:rFonts w:hint="eastAsia" w:asciiTheme="minorEastAsia" w:hAnsiTheme="minorEastAsia" w:cstheme="minorEastAsia"/>
          <w:b/>
          <w:bCs/>
          <w:sz w:val="24"/>
        </w:rPr>
        <w:t>指南</w:t>
      </w:r>
      <w:r>
        <w:rPr>
          <w:rFonts w:hint="eastAsia" w:asciiTheme="minorEastAsia" w:hAnsiTheme="minorEastAsia" w:cstheme="minorEastAsia"/>
          <w:b/>
          <w:bCs/>
          <w:sz w:val="24"/>
          <w:lang w:val="en-US" w:eastAsia="zh-CN"/>
        </w:rPr>
        <w:t>6</w:t>
      </w:r>
      <w:r>
        <w:rPr>
          <w:rFonts w:hint="eastAsia" w:asciiTheme="minorEastAsia" w:hAnsiTheme="minorEastAsia" w:cstheme="minorEastAsia"/>
          <w:b/>
          <w:bCs/>
          <w:sz w:val="24"/>
        </w:rPr>
        <w:t>：</w:t>
      </w:r>
      <w:r>
        <w:rPr>
          <w:rFonts w:asciiTheme="minorEastAsia" w:hAnsiTheme="minorEastAsia" w:cstheme="minorEastAsia"/>
          <w:b/>
          <w:bCs/>
          <w:color w:val="000000" w:themeColor="text1"/>
          <w:sz w:val="24"/>
          <w14:textFill>
            <w14:solidFill>
              <w14:schemeClr w14:val="tx1"/>
            </w14:solidFill>
          </w14:textFill>
        </w:rPr>
        <w:t>EV用悬浮转子驱动电机技术开发</w:t>
      </w:r>
    </w:p>
    <w:p w14:paraId="647B3BD8">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开发一款超高速新能源汽车用驱动电机。</w:t>
      </w:r>
      <w:r>
        <w:rPr>
          <w:rFonts w:hint="eastAsia" w:ascii="宋体" w:hAnsi="宋体" w:eastAsia="宋体" w:cs="宋体"/>
          <w:color w:val="000000" w:themeColor="text1"/>
          <w:sz w:val="24"/>
          <w14:textFill>
            <w14:solidFill>
              <w14:schemeClr w14:val="tx1"/>
            </w14:solidFill>
          </w14:textFill>
        </w:rPr>
        <w:t>新能源汽车电机跟随国家战略发展至今，对电机产品功率密度及重量提出了越来越高的要求。基于电机设计原理，转速的提高可提高功率密度，但高速化对电机转子轴承的挑战也越来越大。由于轴承的存在，电驱系统需要承担相应的物料成本、轴承电腐蚀风险以及相应的轴承损耗，若电机转子旋转运行时不依靠轴承，则相关问题便迎刃而解，故需求对悬浮转子进行相关研究，提供实际可行的解决方案。</w:t>
      </w:r>
    </w:p>
    <w:p w14:paraId="7ED81AA4">
      <w:pPr>
        <w:keepNext w:val="0"/>
        <w:keepLines w:val="0"/>
        <w:pageBreakBefore w:val="0"/>
        <w:tabs>
          <w:tab w:val="left" w:pos="2283"/>
        </w:tabs>
        <w:kinsoku/>
        <w:wordWrap/>
        <w:overflowPunct/>
        <w:topLinePunct w:val="0"/>
        <w:autoSpaceDE/>
        <w:autoSpaceDN/>
        <w:bidi w:val="0"/>
        <w:adjustRightInd/>
        <w:snapToGrid/>
        <w:spacing w:beforeAutospacing="0" w:afterAutospacing="0" w:line="560" w:lineRule="exact"/>
        <w:ind w:firstLine="482" w:firstLineChars="200"/>
        <w:jc w:val="both"/>
        <w:textAlignment w:val="auto"/>
        <w:outlineLvl w:val="0"/>
        <w:rPr>
          <w:rFonts w:hint="eastAsia" w:asciiTheme="minorEastAsia" w:hAnsiTheme="minorEastAsia" w:cstheme="minorEastAsia"/>
          <w:sz w:val="24"/>
        </w:rPr>
      </w:pPr>
      <w:r>
        <w:rPr>
          <w:rFonts w:hint="eastAsia" w:asciiTheme="minorEastAsia" w:hAnsiTheme="minorEastAsia" w:cstheme="minorEastAsia"/>
          <w:b/>
          <w:bCs/>
          <w:sz w:val="24"/>
        </w:rPr>
        <w:t>技术指标涵盖：</w:t>
      </w:r>
      <w:r>
        <w:rPr>
          <w:rFonts w:hint="eastAsia" w:asciiTheme="minorEastAsia" w:hAnsiTheme="minorEastAsia" w:cstheme="minorEastAsia"/>
          <w:sz w:val="24"/>
        </w:rPr>
        <w:t>悬浮转子电机方案、悬浮方案、控制策略。</w:t>
      </w:r>
    </w:p>
    <w:p w14:paraId="6782364F">
      <w:pPr>
        <w:keepNext w:val="0"/>
        <w:keepLines w:val="0"/>
        <w:pageBreakBefore w:val="0"/>
        <w:tabs>
          <w:tab w:val="left" w:pos="2283"/>
        </w:tabs>
        <w:kinsoku/>
        <w:wordWrap/>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hint="eastAsia" w:asciiTheme="minorEastAsia" w:hAnsiTheme="minorEastAsia" w:cstheme="minorEastAsia"/>
          <w:sz w:val="24"/>
        </w:rPr>
      </w:pPr>
    </w:p>
    <w:p w14:paraId="713E59F2">
      <w:pPr>
        <w:tabs>
          <w:tab w:val="left" w:pos="2283"/>
        </w:tabs>
        <w:spacing w:line="360" w:lineRule="auto"/>
        <w:ind w:firstLine="482" w:firstLineChars="200"/>
        <w:jc w:val="both"/>
        <w:outlineLvl w:val="0"/>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指南</w:t>
      </w:r>
      <w:r>
        <w:rPr>
          <w:rFonts w:hint="eastAsia" w:ascii="Times New Roman" w:hAnsi="Times New Roman" w:cs="Times New Roman"/>
          <w:b/>
          <w:bCs/>
          <w:sz w:val="24"/>
          <w:szCs w:val="24"/>
          <w:lang w:val="en-US" w:eastAsia="zh-CN"/>
        </w:rPr>
        <w:t>7</w:t>
      </w:r>
      <w:bookmarkStart w:id="0" w:name="_GoBack"/>
      <w:bookmarkEnd w:id="0"/>
      <w:r>
        <w:rPr>
          <w:rFonts w:hint="default" w:ascii="Times New Roman" w:hAnsi="Times New Roman" w:cs="Times New Roman" w:eastAsiaTheme="minorEastAsia"/>
          <w:b/>
          <w:bCs/>
          <w:sz w:val="24"/>
          <w:szCs w:val="24"/>
          <w:lang w:val="en-US" w:eastAsia="zh-CN"/>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智能充电座电磁兼容可靠性仿真研究</w:t>
      </w:r>
    </w:p>
    <w:p w14:paraId="41EF22B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Times New Roman" w:hAnsi="Times New Roman" w:cs="Times New Roman" w:eastAsiaTheme="minorEastAsia"/>
          <w:i w:val="0"/>
          <w:iCs w:val="0"/>
          <w:caps w:val="0"/>
          <w:color w:val="0F1115"/>
          <w:spacing w:val="0"/>
          <w:sz w:val="24"/>
          <w:szCs w:val="24"/>
          <w:shd w:val="clear" w:fill="FFFFFF"/>
        </w:rPr>
      </w:pPr>
      <w:r>
        <w:rPr>
          <w:rFonts w:hint="default" w:ascii="Times New Roman" w:hAnsi="Times New Roman" w:cs="Times New Roman" w:eastAsiaTheme="minorEastAsia"/>
          <w:i w:val="0"/>
          <w:iCs w:val="0"/>
          <w:caps w:val="0"/>
          <w:color w:val="0F1115"/>
          <w:spacing w:val="0"/>
          <w:sz w:val="24"/>
          <w:szCs w:val="24"/>
          <w:shd w:val="clear" w:fill="FFFFFF"/>
        </w:rPr>
        <w:t>针对新能源汽车高压</w:t>
      </w:r>
      <w:r>
        <w:rPr>
          <w:rFonts w:hint="default" w:ascii="Times New Roman" w:hAnsi="Times New Roman" w:cs="Times New Roman" w:eastAsiaTheme="minorEastAsia"/>
          <w:i w:val="0"/>
          <w:iCs w:val="0"/>
          <w:caps w:val="0"/>
          <w:color w:val="0F1115"/>
          <w:spacing w:val="0"/>
          <w:sz w:val="24"/>
          <w:szCs w:val="24"/>
          <w:shd w:val="clear" w:fill="FFFFFF"/>
          <w:lang w:val="en-US" w:eastAsia="zh-CN"/>
        </w:rPr>
        <w:t>充电</w:t>
      </w:r>
      <w:r>
        <w:rPr>
          <w:rFonts w:hint="default" w:ascii="Times New Roman" w:hAnsi="Times New Roman" w:cs="Times New Roman" w:eastAsiaTheme="minorEastAsia"/>
          <w:i w:val="0"/>
          <w:iCs w:val="0"/>
          <w:caps w:val="0"/>
          <w:color w:val="0F1115"/>
          <w:spacing w:val="0"/>
          <w:sz w:val="24"/>
          <w:szCs w:val="24"/>
          <w:shd w:val="clear" w:fill="FFFFFF"/>
        </w:rPr>
        <w:t>场景，智能充电座电磁兼容（EMC）可靠性仿真研究聚焦于大电流（300A）传输下的传导与辐射干扰问题。高压线缆与低压信号线间的容性/感性耦合、PCB高频信号阻抗失配及屏蔽效能不足，是导致共模噪声超标、信号失真及敏感系统受扰的主要成因。研究旨在建立精确仿真模型，形成“设计-仿真-测试”闭环，通过前期预测降低风险、优化参数，缩短开发周期。</w:t>
      </w:r>
    </w:p>
    <w:p w14:paraId="0A040CE5">
      <w:pPr>
        <w:keepNext w:val="0"/>
        <w:keepLines w:val="0"/>
        <w:pageBreakBefore w:val="0"/>
        <w:tabs>
          <w:tab w:val="left" w:pos="2283"/>
        </w:tabs>
        <w:kinsoku/>
        <w:wordWrap/>
        <w:overflowPunct/>
        <w:topLinePunct w:val="0"/>
        <w:autoSpaceDE/>
        <w:autoSpaceDN/>
        <w:bidi w:val="0"/>
        <w:adjustRightInd/>
        <w:snapToGrid/>
        <w:spacing w:beforeAutospacing="0" w:afterAutospacing="0" w:line="560" w:lineRule="exact"/>
        <w:ind w:firstLine="482" w:firstLineChars="200"/>
        <w:jc w:val="both"/>
        <w:textAlignment w:val="auto"/>
        <w:outlineLvl w:val="0"/>
        <w:rPr>
          <w:rFonts w:hint="eastAsia" w:asciiTheme="minorEastAsia" w:hAnsiTheme="minorEastAsia" w:cstheme="minorEastAsia"/>
          <w:sz w:val="24"/>
          <w:lang w:val="en-US" w:eastAsia="zh-CN"/>
        </w:rPr>
      </w:pPr>
      <w:r>
        <w:rPr>
          <w:rFonts w:hint="default" w:ascii="Times New Roman" w:hAnsi="Times New Roman" w:cs="Times New Roman" w:eastAsiaTheme="minorEastAsia"/>
          <w:b/>
          <w:bCs/>
          <w:sz w:val="24"/>
          <w:szCs w:val="24"/>
        </w:rPr>
        <w:t>技术指标</w:t>
      </w:r>
      <w:r>
        <w:rPr>
          <w:rFonts w:hint="default" w:ascii="Times New Roman" w:hAnsi="Times New Roman" w:cs="Times New Roman" w:eastAsiaTheme="minorEastAsia"/>
          <w:b/>
          <w:bCs/>
          <w:sz w:val="24"/>
          <w:szCs w:val="24"/>
          <w:lang w:val="en-US" w:eastAsia="zh-CN"/>
        </w:rPr>
        <w:t>涵盖</w:t>
      </w:r>
      <w:r>
        <w:rPr>
          <w:rFonts w:hint="default" w:ascii="Times New Roman" w:hAnsi="Times New Roman" w:cs="Times New Roman" w:eastAsiaTheme="minorEastAsia"/>
          <w:b/>
          <w:bCs/>
          <w:sz w:val="24"/>
          <w:szCs w:val="24"/>
          <w:highlight w:val="none"/>
          <w:lang w:val="en-US" w:eastAsia="zh-CN"/>
        </w:rPr>
        <w:t>：</w:t>
      </w:r>
      <w:r>
        <w:rPr>
          <w:rFonts w:hint="default" w:ascii="Times New Roman" w:hAnsi="Times New Roman" w:cs="Times New Roman" w:eastAsiaTheme="minorEastAsia"/>
          <w:i w:val="0"/>
          <w:iCs w:val="0"/>
          <w:caps w:val="0"/>
          <w:color w:val="0F1115"/>
          <w:spacing w:val="0"/>
          <w:sz w:val="24"/>
          <w:szCs w:val="24"/>
          <w:shd w:val="clear" w:fill="FFFFFF"/>
        </w:rPr>
        <w:t>高低压线束串扰耦合仿真精度</w:t>
      </w:r>
      <w:r>
        <w:rPr>
          <w:rFonts w:hint="default" w:ascii="Times New Roman" w:hAnsi="Times New Roman" w:cs="Times New Roman" w:eastAsiaTheme="minorEastAsia"/>
          <w:i w:val="0"/>
          <w:iCs w:val="0"/>
          <w:caps w:val="0"/>
          <w:color w:val="0F1115"/>
          <w:spacing w:val="0"/>
          <w:sz w:val="24"/>
          <w:szCs w:val="24"/>
          <w:shd w:val="clear" w:fill="FFFFFF"/>
          <w:lang w:eastAsia="zh-CN"/>
        </w:rPr>
        <w:t>，</w:t>
      </w:r>
      <w:r>
        <w:rPr>
          <w:rFonts w:hint="default" w:ascii="Times New Roman" w:hAnsi="Times New Roman" w:cs="Times New Roman" w:eastAsiaTheme="minorEastAsia"/>
          <w:i w:val="0"/>
          <w:iCs w:val="0"/>
          <w:caps w:val="0"/>
          <w:color w:val="0F1115"/>
          <w:spacing w:val="0"/>
          <w:sz w:val="24"/>
          <w:szCs w:val="24"/>
          <w:shd w:val="clear" w:fill="FFFFFF"/>
        </w:rPr>
        <w:t>连接系统屏蔽效能仿真精度</w:t>
      </w:r>
      <w:r>
        <w:rPr>
          <w:rFonts w:hint="default" w:ascii="Times New Roman" w:hAnsi="Times New Roman" w:cs="Times New Roman" w:eastAsiaTheme="minorEastAsia"/>
          <w:i w:val="0"/>
          <w:iCs w:val="0"/>
          <w:caps w:val="0"/>
          <w:color w:val="0F1115"/>
          <w:spacing w:val="0"/>
          <w:sz w:val="24"/>
          <w:szCs w:val="24"/>
          <w:shd w:val="clear" w:fill="FFFFFF"/>
          <w:lang w:eastAsia="zh-CN"/>
        </w:rPr>
        <w:t>，</w:t>
      </w:r>
      <w:r>
        <w:rPr>
          <w:rFonts w:hint="default" w:ascii="Times New Roman" w:hAnsi="Times New Roman" w:cs="Times New Roman" w:eastAsiaTheme="minorEastAsia"/>
          <w:i w:val="0"/>
          <w:iCs w:val="0"/>
          <w:caps w:val="0"/>
          <w:color w:val="0F1115"/>
          <w:spacing w:val="0"/>
          <w:sz w:val="24"/>
          <w:szCs w:val="24"/>
          <w:shd w:val="clear" w:fill="FFFFFF"/>
        </w:rPr>
        <w:t>PCB阻抗谐振与电流分布分析输出</w:t>
      </w:r>
    </w:p>
    <w:p w14:paraId="31ACE25E">
      <w:pPr>
        <w:rPr>
          <w:rFonts w:hint="eastAsia" w:asciiTheme="minorEastAsia" w:hAnsiTheme="minorEastAsia" w:eastAsiaTheme="minorEastAsia" w:cstheme="minorEastAsia"/>
          <w:b/>
          <w:bCs/>
          <w:sz w:val="24"/>
          <w:szCs w:val="24"/>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4DE7"/>
    <w:rsid w:val="00FC02BF"/>
    <w:rsid w:val="01CD6138"/>
    <w:rsid w:val="039B3DC0"/>
    <w:rsid w:val="03C84489"/>
    <w:rsid w:val="03EE2885"/>
    <w:rsid w:val="040F20B8"/>
    <w:rsid w:val="044A6734"/>
    <w:rsid w:val="04720E91"/>
    <w:rsid w:val="04CD10D2"/>
    <w:rsid w:val="04F27A0F"/>
    <w:rsid w:val="054E5A30"/>
    <w:rsid w:val="057C1831"/>
    <w:rsid w:val="062B01AC"/>
    <w:rsid w:val="06776B13"/>
    <w:rsid w:val="068E3136"/>
    <w:rsid w:val="06B84BDC"/>
    <w:rsid w:val="07177C01"/>
    <w:rsid w:val="07ED44BE"/>
    <w:rsid w:val="08564759"/>
    <w:rsid w:val="095F13EB"/>
    <w:rsid w:val="0A3011AD"/>
    <w:rsid w:val="0B792C38"/>
    <w:rsid w:val="0BAC43C7"/>
    <w:rsid w:val="0BBA4FFF"/>
    <w:rsid w:val="0BCB0FBA"/>
    <w:rsid w:val="0C707E5F"/>
    <w:rsid w:val="0CB97065"/>
    <w:rsid w:val="0D3F3A0E"/>
    <w:rsid w:val="0DC91529"/>
    <w:rsid w:val="0EB37AEE"/>
    <w:rsid w:val="0FAC2EB1"/>
    <w:rsid w:val="10851355"/>
    <w:rsid w:val="10E57FE7"/>
    <w:rsid w:val="10F92125"/>
    <w:rsid w:val="11423ACC"/>
    <w:rsid w:val="13AA3E43"/>
    <w:rsid w:val="13F76DF0"/>
    <w:rsid w:val="1497412F"/>
    <w:rsid w:val="154315A8"/>
    <w:rsid w:val="15D64DE0"/>
    <w:rsid w:val="16481B85"/>
    <w:rsid w:val="188874ED"/>
    <w:rsid w:val="18CA02C0"/>
    <w:rsid w:val="18FE652B"/>
    <w:rsid w:val="1ABA7CDE"/>
    <w:rsid w:val="1BE872A1"/>
    <w:rsid w:val="1C5A2915"/>
    <w:rsid w:val="1D00586C"/>
    <w:rsid w:val="1D862F93"/>
    <w:rsid w:val="1DD27F86"/>
    <w:rsid w:val="1DF3687A"/>
    <w:rsid w:val="1E543091"/>
    <w:rsid w:val="1E791917"/>
    <w:rsid w:val="1F672FF6"/>
    <w:rsid w:val="20232D1B"/>
    <w:rsid w:val="20DB63E4"/>
    <w:rsid w:val="20F052F3"/>
    <w:rsid w:val="210B3EDB"/>
    <w:rsid w:val="211C7E96"/>
    <w:rsid w:val="21F40AF0"/>
    <w:rsid w:val="248212EC"/>
    <w:rsid w:val="24DA075E"/>
    <w:rsid w:val="25781CF7"/>
    <w:rsid w:val="27DA0981"/>
    <w:rsid w:val="288051AE"/>
    <w:rsid w:val="29003BF9"/>
    <w:rsid w:val="298F014A"/>
    <w:rsid w:val="2A021BF3"/>
    <w:rsid w:val="2A6401B8"/>
    <w:rsid w:val="2B2B5E82"/>
    <w:rsid w:val="2ED2428A"/>
    <w:rsid w:val="2EFF4240"/>
    <w:rsid w:val="2F0F103A"/>
    <w:rsid w:val="2FB72077"/>
    <w:rsid w:val="31F81613"/>
    <w:rsid w:val="34A23A5E"/>
    <w:rsid w:val="34A946DB"/>
    <w:rsid w:val="36105698"/>
    <w:rsid w:val="36685AE1"/>
    <w:rsid w:val="36BB5604"/>
    <w:rsid w:val="36F506B8"/>
    <w:rsid w:val="37083929"/>
    <w:rsid w:val="370C5E5F"/>
    <w:rsid w:val="379C3687"/>
    <w:rsid w:val="37C05550"/>
    <w:rsid w:val="38967440"/>
    <w:rsid w:val="38F31091"/>
    <w:rsid w:val="39204E74"/>
    <w:rsid w:val="3B0F0B2E"/>
    <w:rsid w:val="3C552056"/>
    <w:rsid w:val="3EF416A3"/>
    <w:rsid w:val="3FBC1571"/>
    <w:rsid w:val="409E42A5"/>
    <w:rsid w:val="42652826"/>
    <w:rsid w:val="42A258CA"/>
    <w:rsid w:val="443133A9"/>
    <w:rsid w:val="44670B79"/>
    <w:rsid w:val="44BC4E15"/>
    <w:rsid w:val="45354332"/>
    <w:rsid w:val="45E83F3B"/>
    <w:rsid w:val="460062C7"/>
    <w:rsid w:val="46141DB8"/>
    <w:rsid w:val="4662784A"/>
    <w:rsid w:val="46D0148E"/>
    <w:rsid w:val="47B02837"/>
    <w:rsid w:val="489108BA"/>
    <w:rsid w:val="4A6F69D9"/>
    <w:rsid w:val="4A804742"/>
    <w:rsid w:val="4B017E0F"/>
    <w:rsid w:val="4BDE1EEC"/>
    <w:rsid w:val="4C216D3B"/>
    <w:rsid w:val="4C237A7B"/>
    <w:rsid w:val="4C891FD4"/>
    <w:rsid w:val="4C8A18A8"/>
    <w:rsid w:val="4CF11FB6"/>
    <w:rsid w:val="4D304D4D"/>
    <w:rsid w:val="4D986247"/>
    <w:rsid w:val="4DA175DB"/>
    <w:rsid w:val="4E703D50"/>
    <w:rsid w:val="4F500ABB"/>
    <w:rsid w:val="508807F5"/>
    <w:rsid w:val="50AA2519"/>
    <w:rsid w:val="50E579F5"/>
    <w:rsid w:val="51330760"/>
    <w:rsid w:val="51782617"/>
    <w:rsid w:val="528D20F2"/>
    <w:rsid w:val="52B3751A"/>
    <w:rsid w:val="53EB5322"/>
    <w:rsid w:val="542B3971"/>
    <w:rsid w:val="55436A98"/>
    <w:rsid w:val="55741347"/>
    <w:rsid w:val="56690780"/>
    <w:rsid w:val="574A02E3"/>
    <w:rsid w:val="57880845"/>
    <w:rsid w:val="57926556"/>
    <w:rsid w:val="579B2BBB"/>
    <w:rsid w:val="57FB365A"/>
    <w:rsid w:val="58964EB3"/>
    <w:rsid w:val="593718B6"/>
    <w:rsid w:val="59D70FAC"/>
    <w:rsid w:val="5AC42429"/>
    <w:rsid w:val="5BFB1E7B"/>
    <w:rsid w:val="5CD55A5D"/>
    <w:rsid w:val="5D3F7A5C"/>
    <w:rsid w:val="5D8300C1"/>
    <w:rsid w:val="5E365AA3"/>
    <w:rsid w:val="5E6E1CBA"/>
    <w:rsid w:val="5EB01642"/>
    <w:rsid w:val="5F033A5D"/>
    <w:rsid w:val="5F841E36"/>
    <w:rsid w:val="5F8473FA"/>
    <w:rsid w:val="5FB459E5"/>
    <w:rsid w:val="602C2F4B"/>
    <w:rsid w:val="60BD3BA3"/>
    <w:rsid w:val="61640B99"/>
    <w:rsid w:val="6274393B"/>
    <w:rsid w:val="636F4ADC"/>
    <w:rsid w:val="637C7D45"/>
    <w:rsid w:val="63894210"/>
    <w:rsid w:val="644B2466"/>
    <w:rsid w:val="6558033E"/>
    <w:rsid w:val="6563302E"/>
    <w:rsid w:val="65C00905"/>
    <w:rsid w:val="66741F0A"/>
    <w:rsid w:val="67DD2D7C"/>
    <w:rsid w:val="68CB2726"/>
    <w:rsid w:val="69616900"/>
    <w:rsid w:val="69F50851"/>
    <w:rsid w:val="6B8F7262"/>
    <w:rsid w:val="6C027260"/>
    <w:rsid w:val="6C84022E"/>
    <w:rsid w:val="6C8D7FC7"/>
    <w:rsid w:val="6D287521"/>
    <w:rsid w:val="6D34343E"/>
    <w:rsid w:val="6D8B6DD7"/>
    <w:rsid w:val="6DB82BC6"/>
    <w:rsid w:val="6DD95D94"/>
    <w:rsid w:val="6EBA5F8A"/>
    <w:rsid w:val="71771B4C"/>
    <w:rsid w:val="72BB1F0C"/>
    <w:rsid w:val="73090EC9"/>
    <w:rsid w:val="737547B1"/>
    <w:rsid w:val="73CB5EA1"/>
    <w:rsid w:val="746D219D"/>
    <w:rsid w:val="74982505"/>
    <w:rsid w:val="750B1156"/>
    <w:rsid w:val="75F47C0F"/>
    <w:rsid w:val="777C7EBC"/>
    <w:rsid w:val="77F57C6E"/>
    <w:rsid w:val="79AB6836"/>
    <w:rsid w:val="7AC57DCC"/>
    <w:rsid w:val="7CF60710"/>
    <w:rsid w:val="7D85512F"/>
    <w:rsid w:val="7EEF165C"/>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unhideWhenUsed/>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1278</Words>
  <Characters>1502</Characters>
  <Lines>0</Lines>
  <Paragraphs>0</Paragraphs>
  <TotalTime>73</TotalTime>
  <ScaleCrop>false</ScaleCrop>
  <LinksUpToDate>false</LinksUpToDate>
  <CharactersWithSpaces>1516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2025-12-17T07:55:00Z</dcterms:created>
  <dc:creator>Administrator</dc:creator>
  <cp:lastModifiedBy>桂萍萍</cp:lastModifiedBy>
  <dcterms:modified xsi:type="dcterms:W3CDTF">2026-07-09T05:12:33Z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eyJoZGlkIjoiYjQyMTRiOGM5YzFkYjcxYzBhYjIyNDJkMDU2ZTMyNDYiLCJ1c2VySWQiOiIxNjgwMjI3MjEwIn0=</vt:lpwstr>
  </property>
  <property fmtid="{D5CDD505-2E9C-101B-9397-08002B2CF9AE}" pid="4" name="ICV">
    <vt:lpwstr>F8200D23EB874C0BA0AB93FF76606E1F_13</vt:lpwstr>
  </property>
</Properties>
</file>