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F12F068">
      <w:pPr>
        <w:pStyle w:val="style0"/>
        <w:jc w:val="center"/>
        <w:rPr>
          <w:rFonts w:ascii="Times New Roman" w:cs="Times New Roman" w:eastAsia="楷体_GB2312" w:hAnsi="Times New Roman"/>
          <w:b/>
          <w:bCs/>
          <w:sz w:val="36"/>
          <w:szCs w:val="36"/>
        </w:rPr>
      </w:pPr>
      <w:bookmarkStart w:id="0" w:name="_Toc19176_WPSOffice_Level1"/>
      <w:bookmarkStart w:id="1" w:name="_Toc36046315"/>
      <w:r>
        <w:rPr>
          <w:rFonts w:ascii="Times New Roman" w:cs="Times New Roman" w:eastAsia="楷体_GB2312" w:hAnsi="Times New Roman"/>
          <w:b/>
          <w:bCs/>
          <w:sz w:val="36"/>
          <w:szCs w:val="36"/>
        </w:rPr>
        <w:t>2025</w:t>
      </w:r>
      <w:r>
        <w:rPr>
          <w:rFonts w:ascii="Times New Roman" w:cs="Times New Roman" w:eastAsia="楷体_GB2312" w:hAnsi="Times New Roman"/>
          <w:b/>
          <w:bCs/>
          <w:sz w:val="36"/>
          <w:szCs w:val="36"/>
        </w:rPr>
        <w:t>年安徽省科学技术奖提名</w:t>
      </w:r>
      <w:bookmarkEnd w:id="0"/>
      <w:bookmarkEnd w:id="1"/>
      <w:r>
        <w:rPr>
          <w:rFonts w:ascii="Times New Roman" w:cs="Times New Roman" w:eastAsia="楷体_GB2312" w:hAnsi="Times New Roman"/>
          <w:b/>
          <w:bCs/>
          <w:sz w:val="36"/>
          <w:szCs w:val="36"/>
        </w:rPr>
        <w:t>项目公示</w:t>
      </w:r>
    </w:p>
    <w:p w14:paraId="4A4B45B9">
      <w:pPr>
        <w:pStyle w:val="style0"/>
        <w:jc w:val="center"/>
        <w:rPr>
          <w:rFonts w:ascii="Times New Roman" w:cs="Times New Roman" w:eastAsia="楷体_GB2312" w:hAnsi="Times New Roman"/>
          <w:b/>
          <w:bCs/>
          <w:sz w:val="36"/>
          <w:szCs w:val="36"/>
        </w:rPr>
      </w:pPr>
      <w:r>
        <w:rPr>
          <w:rFonts w:ascii="Times New Roman" w:cs="Times New Roman" w:eastAsia="楷体_GB2312" w:hAnsi="Times New Roman"/>
          <w:b/>
          <w:bCs/>
          <w:sz w:val="36"/>
          <w:szCs w:val="36"/>
        </w:rPr>
        <w:t>（科学技术进步奖）</w:t>
      </w:r>
    </w:p>
    <w:p w14:paraId="4627FF60">
      <w:pPr>
        <w:pStyle w:val="style0"/>
        <w:snapToGrid w:val="false"/>
        <w:spacing w:lineRule="auto" w:line="324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（一）项目名称：面向终端部署的量子安全硬件实现关键技术及产业化</w:t>
      </w:r>
    </w:p>
    <w:p w14:paraId="7B827C59">
      <w:pPr>
        <w:pStyle w:val="style0"/>
        <w:snapToGrid w:val="false"/>
        <w:spacing w:lineRule="auto" w:line="324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（二）提名者：</w:t>
      </w:r>
      <w:r>
        <w:rPr>
          <w:rFonts w:ascii="Times New Roman" w:cs="Times New Roman" w:eastAsia="黑体" w:hAnsi="Times New Roman" w:hint="eastAsia"/>
          <w:sz w:val="24"/>
          <w:szCs w:val="24"/>
        </w:rPr>
        <w:t>芜湖</w:t>
      </w:r>
      <w:r>
        <w:rPr>
          <w:rFonts w:ascii="Times New Roman" w:cs="Times New Roman" w:eastAsia="黑体" w:hAnsi="Times New Roman"/>
          <w:sz w:val="24"/>
          <w:szCs w:val="24"/>
        </w:rPr>
        <w:t>市科学技术局</w:t>
      </w:r>
    </w:p>
    <w:p w14:paraId="5DC9B488">
      <w:pPr>
        <w:pStyle w:val="style0"/>
        <w:snapToGrid w:val="false"/>
        <w:spacing w:lineRule="auto" w:line="324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（三）主要知识产权和标准规范等目录</w:t>
      </w:r>
    </w:p>
    <w:p w14:paraId="39ACBADB">
      <w:pPr>
        <w:pStyle w:val="style0"/>
        <w:snapToGrid w:val="false"/>
        <w:spacing w:lineRule="auto" w:line="324"/>
        <w:ind w:firstLine="240" w:firstLineChars="1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知识产权</w:t>
      </w:r>
    </w:p>
    <w:p w14:paraId="375AAAEC">
      <w:pPr>
        <w:pStyle w:val="style0"/>
        <w:numPr>
          <w:ilvl w:val="0"/>
          <w:numId w:val="1"/>
        </w:numPr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一种量子密钥分发系统的信号处理方法和装置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ZL202511200963.0</w:t>
      </w:r>
    </w:p>
    <w:p w14:paraId="6A14CE86">
      <w:pPr>
        <w:pStyle w:val="style0"/>
        <w:numPr>
          <w:ilvl w:val="0"/>
          <w:numId w:val="1"/>
        </w:numPr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一种集中式量子密钥中继网络与密钥分发方法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ZL202511200911.3</w:t>
      </w:r>
    </w:p>
    <w:p w14:paraId="546129F4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3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一种可配置延时瞬态效应环形振荡器</w:t>
      </w:r>
      <w:r>
        <w:rPr>
          <w:rFonts w:ascii="Times New Roman" w:cs="Times New Roman" w:eastAsia="黑体" w:hAnsi="Times New Roman"/>
          <w:sz w:val="24"/>
          <w:szCs w:val="24"/>
        </w:rPr>
        <w:t>PUF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ZL202610059931.1</w:t>
      </w:r>
    </w:p>
    <w:p w14:paraId="2B34E18B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4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一种基于轻量级</w:t>
      </w:r>
      <w:r>
        <w:rPr>
          <w:rFonts w:ascii="Times New Roman" w:cs="Times New Roman" w:eastAsia="黑体" w:hAnsi="Times New Roman"/>
          <w:sz w:val="24"/>
          <w:szCs w:val="24"/>
        </w:rPr>
        <w:t>PUF</w:t>
      </w:r>
      <w:r>
        <w:rPr>
          <w:rFonts w:ascii="Times New Roman" w:cs="Times New Roman" w:eastAsia="黑体" w:hAnsi="Times New Roman"/>
          <w:sz w:val="24"/>
          <w:szCs w:val="24"/>
        </w:rPr>
        <w:t>的密钥生成电路及其生成方法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ZL202311441532.4</w:t>
      </w:r>
    </w:p>
    <w:p w14:paraId="52E84B99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5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</w:t>
      </w:r>
      <w:r>
        <w:rPr>
          <w:rFonts w:ascii="Times New Roman" w:cs="Times New Roman" w:eastAsia="黑体" w:hAnsi="Times New Roman"/>
          <w:sz w:val="24"/>
          <w:szCs w:val="24"/>
        </w:rPr>
        <w:t>QKD</w:t>
      </w:r>
      <w:r>
        <w:rPr>
          <w:rFonts w:ascii="Times New Roman" w:cs="Times New Roman" w:eastAsia="黑体" w:hAnsi="Times New Roman"/>
          <w:sz w:val="24"/>
          <w:szCs w:val="24"/>
        </w:rPr>
        <w:t>死时间防御措施的检测装置及方法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ZL202010905947.2</w:t>
      </w:r>
    </w:p>
    <w:p w14:paraId="0DF6B710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6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一种用于</w:t>
      </w:r>
      <w:r>
        <w:rPr>
          <w:rFonts w:ascii="Times New Roman" w:cs="Times New Roman" w:eastAsia="黑体" w:hAnsi="Times New Roman"/>
          <w:sz w:val="24"/>
          <w:szCs w:val="24"/>
        </w:rPr>
        <w:t>SPHINCS+</w:t>
      </w:r>
      <w:r>
        <w:rPr>
          <w:rFonts w:ascii="Times New Roman" w:cs="Times New Roman" w:eastAsia="黑体" w:hAnsi="Times New Roman"/>
          <w:sz w:val="24"/>
          <w:szCs w:val="24"/>
        </w:rPr>
        <w:t>的抗侧信道时间攻击保护电路、方法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ZL202410517363.6</w:t>
      </w:r>
    </w:p>
    <w:p w14:paraId="24F4A5A4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7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用于实现后量子密码</w:t>
      </w:r>
      <w:r>
        <w:rPr>
          <w:rFonts w:ascii="Times New Roman" w:cs="Times New Roman" w:eastAsia="黑体" w:hAnsi="Times New Roman"/>
          <w:sz w:val="24"/>
          <w:szCs w:val="24"/>
        </w:rPr>
        <w:t>Saber</w:t>
      </w:r>
      <w:r>
        <w:rPr>
          <w:rFonts w:ascii="Times New Roman" w:cs="Times New Roman" w:eastAsia="黑体" w:hAnsi="Times New Roman"/>
          <w:sz w:val="24"/>
          <w:szCs w:val="24"/>
        </w:rPr>
        <w:t>算法的处理器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ZL202111410431.1</w:t>
      </w:r>
    </w:p>
    <w:p w14:paraId="64275033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8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近红外单光子雪崩二极管探测器及制作方法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ZL202110555818.X</w:t>
      </w:r>
    </w:p>
    <w:p w14:paraId="023EE17A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9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一种基于区间编码的高效随机数生成方法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ZL201911321496.1</w:t>
      </w:r>
    </w:p>
    <w:p w14:paraId="0C3F9674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10</w:t>
      </w:r>
      <w:r>
        <w:rPr>
          <w:rFonts w:ascii="Times New Roman" w:cs="Times New Roman" w:eastAsia="黑体" w:hAnsi="Times New Roman"/>
          <w:sz w:val="24"/>
          <w:szCs w:val="24"/>
        </w:rPr>
        <w:t>、发明专利授权：</w:t>
      </w:r>
      <w:r>
        <w:rPr>
          <w:rFonts w:ascii="Times New Roman" w:cs="Times New Roman" w:eastAsia="黑体" w:hAnsi="Times New Roman"/>
          <w:sz w:val="24"/>
          <w:szCs w:val="24"/>
        </w:rPr>
        <w:t>红外单光子探测器时钟信号和雪崩信号输出装置</w:t>
      </w:r>
      <w:r>
        <w:rPr>
          <w:rFonts w:ascii="Times New Roman" w:cs="Times New Roman" w:eastAsia="黑体" w:hAnsi="Times New Roman"/>
          <w:sz w:val="24"/>
          <w:szCs w:val="24"/>
        </w:rPr>
        <w:t>，</w:t>
      </w:r>
      <w:r>
        <w:rPr>
          <w:rFonts w:ascii="Times New Roman" w:cs="Times New Roman" w:eastAsia="黑体" w:hAnsi="Times New Roman"/>
          <w:sz w:val="24"/>
          <w:szCs w:val="24"/>
        </w:rPr>
        <w:t>ZL201510604655.4</w:t>
      </w:r>
    </w:p>
    <w:p w14:paraId="45C7DBA6">
      <w:pPr>
        <w:pStyle w:val="style0"/>
        <w:snapToGrid w:val="false"/>
        <w:spacing w:lineRule="auto" w:line="324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（四）主要完成人</w:t>
      </w:r>
    </w:p>
    <w:p w14:paraId="3CF62D2A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倪天明，刘云，刘冬生，刘婧婧，魏子琛，凌杰，卞景昌，陆家昊，吕鑫，宋晨，张洪柳，徐焕银，苗春华，张肖强，聂牧</w:t>
      </w:r>
    </w:p>
    <w:p w14:paraId="6A0E83FD">
      <w:pPr>
        <w:pStyle w:val="style0"/>
        <w:snapToGrid w:val="false"/>
        <w:spacing w:lineRule="auto" w:line="324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（五）主要完成单位</w:t>
      </w:r>
    </w:p>
    <w:p w14:paraId="12C7E346">
      <w:pPr>
        <w:pStyle w:val="style0"/>
        <w:snapToGrid w:val="false"/>
        <w:spacing w:lineRule="auto" w:line="324"/>
        <w:ind w:firstLine="480" w:firstLineChars="200"/>
        <w:rPr>
          <w:rFonts w:ascii="Times New Roman" w:cs="Times New Roman" w:eastAsia="黑体" w:hAnsi="Times New Roman"/>
          <w:sz w:val="24"/>
          <w:szCs w:val="24"/>
        </w:rPr>
      </w:pPr>
      <w:r>
        <w:rPr>
          <w:rFonts w:ascii="Times New Roman" w:cs="Times New Roman" w:eastAsia="黑体" w:hAnsi="Times New Roman"/>
          <w:sz w:val="24"/>
          <w:szCs w:val="24"/>
        </w:rPr>
        <w:t>安徽问天量子科技股份有限公司、安徽工程大学、华中科技大学、武汉光迹融微科技有限公司</w:t>
      </w:r>
      <w:r>
        <w:rPr>
          <w:rFonts w:ascii="Times New Roman" w:cs="Times New Roman" w:eastAsia="黑体" w:hAnsi="Times New Roman" w:hint="eastAsia"/>
          <w:sz w:val="24"/>
          <w:szCs w:val="24"/>
        </w:rPr>
        <w:t>、</w:t>
      </w:r>
      <w:r>
        <w:rPr>
          <w:rFonts w:ascii="Times New Roman" w:cs="Times New Roman" w:eastAsia="黑体" w:hAnsi="Times New Roman"/>
          <w:sz w:val="24"/>
          <w:szCs w:val="24"/>
        </w:rPr>
        <w:t>山东方寸微电子科技有限公司</w:t>
      </w:r>
    </w:p>
    <w:sectPr>
      <w:pgSz w:w="11906" w:h="16838" w:orient="portrait"/>
      <w:pgMar w:top="1440" w:right="1133" w:bottom="1135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400413BC"/>
    <w:lvl w:ilvl="0">
      <w:start w:val="1"/>
      <w:numFmt w:val="decimal"/>
      <w:suff w:val="nothing"/>
      <w:lvlText w:val="%1、"/>
      <w:lvlJc w:val="left"/>
      <w:pPr/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kern w:val="2"/>
      <w:sz w:val="21"/>
      <w:szCs w:val="22"/>
    </w:rPr>
  </w:style>
  <w:style w:type="paragraph" w:styleId="style1">
    <w:name w:val="heading 1"/>
    <w:basedOn w:val="style0"/>
    <w:next w:val="style0"/>
    <w:link w:val="style4097"/>
    <w:qFormat/>
    <w:pPr>
      <w:keepNext/>
      <w:keepLines/>
      <w:widowControl/>
      <w:spacing w:lineRule="exact" w:line="600"/>
      <w:jc w:val="center"/>
      <w:outlineLvl w:val="0"/>
    </w:pPr>
    <w:rPr>
      <w:rFonts w:ascii="宋体" w:cs="宋体" w:eastAsia="方正小标宋_GBK" w:hAnsi="宋体"/>
      <w:bCs/>
      <w:kern w:val="44"/>
      <w:sz w:val="44"/>
      <w:szCs w:val="4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8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100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9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标题 1 字符"/>
    <w:basedOn w:val="style65"/>
    <w:next w:val="style4097"/>
    <w:link w:val="style1"/>
    <w:qFormat/>
    <w:rPr>
      <w:rFonts w:ascii="宋体" w:cs="宋体" w:eastAsia="方正小标宋_GBK" w:hAnsi="宋体"/>
      <w:bCs/>
      <w:kern w:val="44"/>
      <w:sz w:val="44"/>
      <w:szCs w:val="44"/>
    </w:rPr>
  </w:style>
  <w:style w:type="character" w:customStyle="1" w:styleId="style4098">
    <w:name w:val="批注框文本 字符"/>
    <w:basedOn w:val="style65"/>
    <w:next w:val="style4098"/>
    <w:link w:val="style153"/>
    <w:qFormat/>
    <w:uiPriority w:val="99"/>
    <w:rPr>
      <w:sz w:val="18"/>
      <w:szCs w:val="18"/>
    </w:rPr>
  </w:style>
  <w:style w:type="character" w:customStyle="1" w:styleId="style4099">
    <w:name w:val="页眉 字符"/>
    <w:basedOn w:val="style65"/>
    <w:next w:val="style4099"/>
    <w:link w:val="style31"/>
    <w:qFormat/>
    <w:uiPriority w:val="99"/>
    <w:rPr>
      <w:sz w:val="18"/>
      <w:szCs w:val="18"/>
    </w:rPr>
  </w:style>
  <w:style w:type="character" w:customStyle="1" w:styleId="style4100">
    <w:name w:val="页脚 字符"/>
    <w:basedOn w:val="style65"/>
    <w:next w:val="style4100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Words>515</Words>
  <Pages>1</Pages>
  <Characters>686</Characters>
  <Application>WPS Office</Application>
  <DocSecurity>0</DocSecurity>
  <Paragraphs>20</Paragraphs>
  <ScaleCrop>false</ScaleCrop>
  <LinksUpToDate>false</LinksUpToDate>
  <CharactersWithSpaces>686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2026-08-27T09:10:00Z</dcterms:created>
  <dc:creator>PGL</dc:creator>
  <lastModifiedBy>ALN-AL80</lastModifiedBy>
  <lastPrinted>2022-09-22T03:23:00Z</lastPrinted>
  <dcterms:modified xsi:type="dcterms:W3CDTF">2026-09-03T23:42:51Z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eyJoZGlkIjoiODViY2JkMjU3NGYzZTEwMzZmMGFkZWViYmNkYWU3NDIiLCJ1c2VySWQiOiIxMjYyMzEwNjYyIn0=</vt:lpwstr>
  </property>
  <property fmtid="{D5CDD505-2E9C-101B-9397-08002B2CF9AE}" pid="3" name="KSOProductBuildVer">
    <vt:lpwstr>2052-12.1.0.28043</vt:lpwstr>
  </property>
  <property fmtid="{D5CDD505-2E9C-101B-9397-08002B2CF9AE}" pid="4" name="ICV">
    <vt:lpwstr>A6EFFB6A8E954D87AB85585748B7C327_13</vt:lpwstr>
  </property>
  <property fmtid="{D5CDD505-2E9C-101B-9397-08002B2CF9AE}" pid="5" name="GrammarlyDocumentId">
    <vt:lpwstr>065f74b5-c389-4cd1-9244-3113495d3d15</vt:lpwstr>
  </property>
</Properties>
</file>